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1D82" w:rsidRPr="00795C2F" w:rsidRDefault="000F1D82" w:rsidP="000F1D82">
      <w:pPr>
        <w:spacing w:line="480" w:lineRule="auto"/>
        <w:ind w:left="3600"/>
        <w:jc w:val="both"/>
        <w:rPr>
          <w:rFonts w:ascii="Times New Roman" w:hAnsi="Times New Roman" w:cs="Times New Roman"/>
          <w:sz w:val="24"/>
          <w:szCs w:val="24"/>
        </w:rPr>
      </w:pPr>
      <w:bookmarkStart w:id="0" w:name="_GoBack"/>
      <w:bookmarkEnd w:id="0"/>
    </w:p>
    <w:p w:rsidR="000F1D82" w:rsidRPr="00795C2F" w:rsidRDefault="000F1D82" w:rsidP="000F1D82">
      <w:pPr>
        <w:spacing w:line="480" w:lineRule="auto"/>
        <w:ind w:left="3600"/>
        <w:jc w:val="both"/>
        <w:rPr>
          <w:rFonts w:ascii="Times New Roman" w:hAnsi="Times New Roman" w:cs="Times New Roman"/>
          <w:sz w:val="24"/>
          <w:szCs w:val="24"/>
        </w:rPr>
      </w:pPr>
    </w:p>
    <w:p w:rsidR="000F1D82" w:rsidRPr="00795C2F" w:rsidRDefault="000F1D82" w:rsidP="000F1D82">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t xml:space="preserve">                                                </w:t>
      </w:r>
    </w:p>
    <w:p w:rsidR="000F1D82" w:rsidRPr="00795C2F" w:rsidRDefault="000F1D82" w:rsidP="000F1D82">
      <w:pPr>
        <w:spacing w:line="480" w:lineRule="auto"/>
        <w:jc w:val="both"/>
        <w:rPr>
          <w:rFonts w:ascii="Times New Roman" w:hAnsi="Times New Roman" w:cs="Times New Roman"/>
          <w:sz w:val="24"/>
          <w:szCs w:val="24"/>
        </w:rPr>
      </w:pPr>
    </w:p>
    <w:p w:rsidR="000F1D82" w:rsidRPr="00795C2F" w:rsidRDefault="000F1D82" w:rsidP="000F1D82">
      <w:pPr>
        <w:spacing w:line="480" w:lineRule="auto"/>
        <w:ind w:left="2160" w:firstLine="720"/>
        <w:jc w:val="both"/>
        <w:rPr>
          <w:rFonts w:ascii="Times New Roman" w:hAnsi="Times New Roman" w:cs="Times New Roman"/>
          <w:sz w:val="24"/>
          <w:szCs w:val="24"/>
        </w:rPr>
      </w:pPr>
      <w:r w:rsidRPr="00795C2F">
        <w:rPr>
          <w:rFonts w:ascii="Times New Roman" w:hAnsi="Times New Roman" w:cs="Times New Roman"/>
          <w:sz w:val="24"/>
          <w:szCs w:val="24"/>
        </w:rPr>
        <w:t xml:space="preserve">Questions answer assignment                                                                                        </w:t>
      </w:r>
    </w:p>
    <w:p w:rsidR="000F1D82" w:rsidRPr="00795C2F" w:rsidRDefault="000F1D82" w:rsidP="000F1D82">
      <w:pPr>
        <w:spacing w:line="480" w:lineRule="auto"/>
        <w:ind w:left="3600"/>
        <w:jc w:val="both"/>
        <w:rPr>
          <w:rFonts w:ascii="Times New Roman" w:hAnsi="Times New Roman" w:cs="Times New Roman"/>
          <w:sz w:val="24"/>
          <w:szCs w:val="24"/>
        </w:rPr>
      </w:pPr>
      <w:r w:rsidRPr="00795C2F">
        <w:rPr>
          <w:rFonts w:ascii="Times New Roman" w:hAnsi="Times New Roman" w:cs="Times New Roman"/>
          <w:sz w:val="24"/>
          <w:szCs w:val="24"/>
        </w:rPr>
        <w:t>Chapter questions</w:t>
      </w:r>
    </w:p>
    <w:p w:rsidR="000F1D82" w:rsidRPr="00795C2F" w:rsidRDefault="000F1D82" w:rsidP="000F1D82">
      <w:pPr>
        <w:spacing w:line="480" w:lineRule="auto"/>
        <w:ind w:left="3600"/>
        <w:jc w:val="both"/>
        <w:rPr>
          <w:rFonts w:ascii="Times New Roman" w:hAnsi="Times New Roman" w:cs="Times New Roman"/>
          <w:sz w:val="24"/>
          <w:szCs w:val="24"/>
        </w:rPr>
      </w:pPr>
      <w:r w:rsidRPr="00795C2F">
        <w:rPr>
          <w:rFonts w:ascii="Times New Roman" w:hAnsi="Times New Roman" w:cs="Times New Roman"/>
          <w:sz w:val="24"/>
          <w:szCs w:val="24"/>
        </w:rPr>
        <w:t>Student’s Name</w:t>
      </w:r>
    </w:p>
    <w:p w:rsidR="000F1D82" w:rsidRPr="00795C2F" w:rsidRDefault="000F1D82" w:rsidP="000F1D82">
      <w:pPr>
        <w:spacing w:line="480" w:lineRule="auto"/>
        <w:ind w:left="3600"/>
        <w:jc w:val="both"/>
        <w:rPr>
          <w:rFonts w:ascii="Times New Roman" w:hAnsi="Times New Roman" w:cs="Times New Roman"/>
          <w:sz w:val="24"/>
          <w:szCs w:val="24"/>
        </w:rPr>
      </w:pPr>
      <w:r w:rsidRPr="00795C2F">
        <w:rPr>
          <w:rFonts w:ascii="Times New Roman" w:hAnsi="Times New Roman" w:cs="Times New Roman"/>
          <w:sz w:val="24"/>
          <w:szCs w:val="24"/>
        </w:rPr>
        <w:t>Instructor’s Name</w:t>
      </w:r>
    </w:p>
    <w:p w:rsidR="000F1D82" w:rsidRPr="00795C2F" w:rsidRDefault="000F1D82" w:rsidP="000F1D82">
      <w:pPr>
        <w:spacing w:line="480" w:lineRule="auto"/>
        <w:ind w:left="3600"/>
        <w:jc w:val="both"/>
        <w:rPr>
          <w:rFonts w:ascii="Times New Roman" w:hAnsi="Times New Roman" w:cs="Times New Roman"/>
          <w:sz w:val="24"/>
          <w:szCs w:val="24"/>
        </w:rPr>
      </w:pPr>
      <w:r w:rsidRPr="00795C2F">
        <w:rPr>
          <w:rFonts w:ascii="Times New Roman" w:hAnsi="Times New Roman" w:cs="Times New Roman"/>
          <w:sz w:val="24"/>
          <w:szCs w:val="24"/>
        </w:rPr>
        <w:t>Course</w:t>
      </w:r>
    </w:p>
    <w:p w:rsidR="000F1D82" w:rsidRPr="00795C2F" w:rsidRDefault="000F1D82" w:rsidP="000F1D82">
      <w:pPr>
        <w:spacing w:line="480" w:lineRule="auto"/>
        <w:ind w:left="3600"/>
        <w:jc w:val="both"/>
        <w:rPr>
          <w:rFonts w:ascii="Times New Roman" w:hAnsi="Times New Roman" w:cs="Times New Roman"/>
          <w:sz w:val="24"/>
          <w:szCs w:val="24"/>
        </w:rPr>
      </w:pPr>
      <w:r w:rsidRPr="00795C2F">
        <w:rPr>
          <w:rFonts w:ascii="Times New Roman" w:hAnsi="Times New Roman" w:cs="Times New Roman"/>
          <w:sz w:val="24"/>
          <w:szCs w:val="24"/>
        </w:rPr>
        <w:t>Date of Submission</w:t>
      </w:r>
    </w:p>
    <w:p w:rsidR="000F1D82" w:rsidRPr="00795C2F" w:rsidRDefault="000F1D82" w:rsidP="00D67170">
      <w:pPr>
        <w:spacing w:line="480" w:lineRule="auto"/>
        <w:jc w:val="both"/>
        <w:rPr>
          <w:rFonts w:ascii="Times New Roman" w:hAnsi="Times New Roman" w:cs="Times New Roman"/>
          <w:sz w:val="24"/>
          <w:szCs w:val="24"/>
        </w:rPr>
      </w:pPr>
    </w:p>
    <w:p w:rsidR="000F1D82" w:rsidRPr="00795C2F" w:rsidRDefault="000F1D82" w:rsidP="00D67170">
      <w:pPr>
        <w:spacing w:line="480" w:lineRule="auto"/>
        <w:jc w:val="both"/>
        <w:rPr>
          <w:rFonts w:ascii="Times New Roman" w:hAnsi="Times New Roman" w:cs="Times New Roman"/>
          <w:sz w:val="24"/>
          <w:szCs w:val="24"/>
        </w:rPr>
      </w:pPr>
    </w:p>
    <w:p w:rsidR="000F1D82" w:rsidRPr="00795C2F" w:rsidRDefault="000F1D82" w:rsidP="00D67170">
      <w:pPr>
        <w:spacing w:line="480" w:lineRule="auto"/>
        <w:jc w:val="both"/>
        <w:rPr>
          <w:rFonts w:ascii="Times New Roman" w:hAnsi="Times New Roman" w:cs="Times New Roman"/>
          <w:sz w:val="24"/>
          <w:szCs w:val="24"/>
        </w:rPr>
      </w:pPr>
    </w:p>
    <w:p w:rsidR="000F1D82" w:rsidRPr="00795C2F" w:rsidRDefault="000F1D82" w:rsidP="00D67170">
      <w:pPr>
        <w:spacing w:line="480" w:lineRule="auto"/>
        <w:jc w:val="both"/>
        <w:rPr>
          <w:rFonts w:ascii="Times New Roman" w:hAnsi="Times New Roman" w:cs="Times New Roman"/>
          <w:sz w:val="24"/>
          <w:szCs w:val="24"/>
        </w:rPr>
      </w:pPr>
    </w:p>
    <w:p w:rsidR="000F1D82" w:rsidRPr="00795C2F" w:rsidRDefault="000F1D82" w:rsidP="00D67170">
      <w:pPr>
        <w:spacing w:line="480" w:lineRule="auto"/>
        <w:jc w:val="both"/>
        <w:rPr>
          <w:rFonts w:ascii="Times New Roman" w:hAnsi="Times New Roman" w:cs="Times New Roman"/>
          <w:sz w:val="24"/>
          <w:szCs w:val="24"/>
        </w:rPr>
      </w:pPr>
    </w:p>
    <w:p w:rsidR="000F1D82" w:rsidRPr="00795C2F" w:rsidRDefault="000F1D82" w:rsidP="00D67170">
      <w:pPr>
        <w:spacing w:line="480" w:lineRule="auto"/>
        <w:jc w:val="both"/>
        <w:rPr>
          <w:rFonts w:ascii="Times New Roman" w:hAnsi="Times New Roman" w:cs="Times New Roman"/>
          <w:sz w:val="24"/>
          <w:szCs w:val="24"/>
        </w:rPr>
      </w:pPr>
    </w:p>
    <w:p w:rsidR="000F1D82" w:rsidRPr="00795C2F" w:rsidRDefault="000F1D82" w:rsidP="00D67170">
      <w:pPr>
        <w:spacing w:line="480" w:lineRule="auto"/>
        <w:jc w:val="both"/>
        <w:rPr>
          <w:rFonts w:ascii="Times New Roman" w:hAnsi="Times New Roman" w:cs="Times New Roman"/>
          <w:sz w:val="24"/>
          <w:szCs w:val="24"/>
        </w:rPr>
      </w:pPr>
    </w:p>
    <w:p w:rsidR="0029050B" w:rsidRPr="00795C2F" w:rsidRDefault="0029050B" w:rsidP="00F176E8">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lastRenderedPageBreak/>
        <w:t>Q1 Chapter 13</w:t>
      </w:r>
    </w:p>
    <w:p w:rsidR="00F176E8" w:rsidRPr="00795C2F" w:rsidRDefault="00F176E8" w:rsidP="00F176E8">
      <w:pPr>
        <w:pStyle w:val="NormalWeb"/>
        <w:spacing w:before="0" w:beforeAutospacing="0" w:after="0" w:afterAutospacing="0" w:line="480" w:lineRule="auto"/>
        <w:jc w:val="both"/>
        <w:rPr>
          <w:color w:val="1C1E29"/>
        </w:rPr>
      </w:pPr>
      <w:r w:rsidRPr="00795C2F">
        <w:rPr>
          <w:color w:val="1C1E29"/>
        </w:rPr>
        <w:t xml:space="preserve">The symptoms provided in this question are classic for the inclusion-cell disease. The inclusion cell </w:t>
      </w:r>
      <w:r w:rsidR="00C14716" w:rsidRPr="00795C2F">
        <w:rPr>
          <w:color w:val="1C1E29"/>
        </w:rPr>
        <w:t>disease (I-cell disease) refers inherited lysosomal storage</w:t>
      </w:r>
      <w:r w:rsidRPr="00795C2F">
        <w:rPr>
          <w:color w:val="1C1E29"/>
        </w:rPr>
        <w:t xml:space="preserve"> disorder</w:t>
      </w:r>
      <w:r w:rsidR="00C14716" w:rsidRPr="00795C2F">
        <w:rPr>
          <w:color w:val="1C1E29"/>
        </w:rPr>
        <w:t>. This condition was</w:t>
      </w:r>
      <w:r w:rsidRPr="00795C2F">
        <w:rPr>
          <w:color w:val="1C1E29"/>
        </w:rPr>
        <w:t xml:space="preserve"> first described in the year 1967 by the Leroy and DeMars when they reported a case of a patient with clinical and radiographic features that are similar to those of Hurler syndrome but with an earlier onset of symptoms (Barranger &amp; Cabrera-Salazar, 20</w:t>
      </w:r>
      <w:r w:rsidR="00DC54CB" w:rsidRPr="00795C2F">
        <w:rPr>
          <w:color w:val="1C1E29"/>
        </w:rPr>
        <w:t xml:space="preserve">07). A primary unique charactristic of the condition or this disorder is the existence </w:t>
      </w:r>
      <w:r w:rsidRPr="00795C2F">
        <w:rPr>
          <w:color w:val="1C1E29"/>
        </w:rPr>
        <w:t xml:space="preserve">of the phase </w:t>
      </w:r>
      <w:r w:rsidR="00DC54CB" w:rsidRPr="00795C2F">
        <w:rPr>
          <w:color w:val="1C1E29"/>
        </w:rPr>
        <w:t xml:space="preserve">of </w:t>
      </w:r>
      <w:r w:rsidRPr="00795C2F">
        <w:rPr>
          <w:color w:val="1C1E29"/>
        </w:rPr>
        <w:t>dense intra-cytoplasmic inclusions in the fibroblasts of patients. The disease is associated with complications that include recurrent respiratory infections, congestive heart failure, and atlanto</w:t>
      </w:r>
      <w:r w:rsidR="00E02E11" w:rsidRPr="00795C2F">
        <w:rPr>
          <w:color w:val="1C1E29"/>
        </w:rPr>
        <w:t>-</w:t>
      </w:r>
      <w:r w:rsidRPr="00795C2F">
        <w:rPr>
          <w:color w:val="1C1E29"/>
        </w:rPr>
        <w:t xml:space="preserve">axial instability. The disease has a poor prognosis </w:t>
      </w:r>
      <w:r w:rsidR="00E02E11" w:rsidRPr="00795C2F">
        <w:rPr>
          <w:color w:val="1C1E29"/>
        </w:rPr>
        <w:t xml:space="preserve">and because of the </w:t>
      </w:r>
      <w:r w:rsidRPr="00795C2F">
        <w:rPr>
          <w:color w:val="1C1E29"/>
        </w:rPr>
        <w:t>psychomoto</w:t>
      </w:r>
      <w:r w:rsidR="00E02E11" w:rsidRPr="00795C2F">
        <w:rPr>
          <w:color w:val="1C1E29"/>
        </w:rPr>
        <w:t>r retardation that is linked</w:t>
      </w:r>
      <w:r w:rsidRPr="00795C2F">
        <w:rPr>
          <w:color w:val="1C1E29"/>
        </w:rPr>
        <w:t xml:space="preserve"> with the disease is progressive, and the patients with cardiopulmonary complications usually s</w:t>
      </w:r>
      <w:r w:rsidR="00E02E11" w:rsidRPr="00795C2F">
        <w:rPr>
          <w:color w:val="1C1E29"/>
        </w:rPr>
        <w:t xml:space="preserve">uccumb or die by the age of 10 </w:t>
      </w:r>
      <w:r w:rsidRPr="00795C2F">
        <w:rPr>
          <w:color w:val="1C1E29"/>
        </w:rPr>
        <w:t>years (Barranger &amp; Cabrera-Salazar, 2007).</w:t>
      </w:r>
    </w:p>
    <w:p w:rsidR="00F176E8" w:rsidRPr="00795C2F" w:rsidRDefault="003A10CD" w:rsidP="00F176E8">
      <w:pPr>
        <w:pStyle w:val="NormalWeb"/>
        <w:spacing w:before="0" w:beforeAutospacing="0" w:after="0" w:afterAutospacing="0" w:line="480" w:lineRule="auto"/>
        <w:jc w:val="both"/>
        <w:rPr>
          <w:color w:val="1C1E29"/>
        </w:rPr>
      </w:pPr>
      <w:r w:rsidRPr="00795C2F">
        <w:rPr>
          <w:color w:val="1C1E29"/>
        </w:rPr>
        <w:t>The main</w:t>
      </w:r>
      <w:r w:rsidR="00F176E8" w:rsidRPr="00795C2F">
        <w:rPr>
          <w:color w:val="1C1E29"/>
        </w:rPr>
        <w:t xml:space="preserve"> enzyme that is defective in the I-cell disease is the UDP-</w:t>
      </w:r>
      <w:r w:rsidR="00F176E8" w:rsidRPr="00795C2F">
        <w:rPr>
          <w:rStyle w:val="Emphasis"/>
          <w:color w:val="1C1E29"/>
        </w:rPr>
        <w:t>N</w:t>
      </w:r>
      <w:r w:rsidR="00F176E8" w:rsidRPr="00795C2F">
        <w:rPr>
          <w:color w:val="1C1E29"/>
        </w:rPr>
        <w:t> –acetylglucosamine is synthesized in the Golgi apparatus and transported to the cytosol where it is stored.</w:t>
      </w:r>
    </w:p>
    <w:p w:rsidR="00F176E8" w:rsidRPr="00795C2F" w:rsidRDefault="00F176E8" w:rsidP="00F176E8">
      <w:pPr>
        <w:pStyle w:val="NormalWeb"/>
        <w:spacing w:before="0" w:beforeAutospacing="0" w:after="0" w:afterAutospacing="0" w:line="480" w:lineRule="auto"/>
        <w:jc w:val="both"/>
        <w:rPr>
          <w:color w:val="1C1E29"/>
        </w:rPr>
      </w:pPr>
      <w:r w:rsidRPr="00795C2F">
        <w:rPr>
          <w:color w:val="1C1E29"/>
        </w:rPr>
        <w:t>The UDP-</w:t>
      </w:r>
      <w:r w:rsidRPr="00795C2F">
        <w:rPr>
          <w:rStyle w:val="Emphasis"/>
          <w:color w:val="1C1E29"/>
        </w:rPr>
        <w:t>N</w:t>
      </w:r>
      <w:r w:rsidRPr="00795C2F">
        <w:rPr>
          <w:color w:val="1C1E29"/>
        </w:rPr>
        <w:t> –acetyl-glucosamine is an acetylated amino-sugar nucleotide. It is a donor substrate in the modifications of the nucleo-cytoplasmic proteins at the serine and the threonine residues.</w:t>
      </w:r>
    </w:p>
    <w:p w:rsidR="002F1AB9" w:rsidRPr="00795C2F" w:rsidRDefault="00F176E8" w:rsidP="007C575D">
      <w:pPr>
        <w:tabs>
          <w:tab w:val="left" w:pos="1843"/>
        </w:tabs>
        <w:spacing w:line="480" w:lineRule="auto"/>
        <w:jc w:val="both"/>
        <w:rPr>
          <w:rFonts w:ascii="Times New Roman" w:hAnsi="Times New Roman" w:cs="Times New Roman"/>
          <w:color w:val="2A2A2A"/>
          <w:sz w:val="24"/>
          <w:szCs w:val="24"/>
        </w:rPr>
      </w:pPr>
      <w:r w:rsidRPr="00795C2F">
        <w:rPr>
          <w:rFonts w:ascii="Times New Roman" w:hAnsi="Times New Roman" w:cs="Times New Roman"/>
          <w:noProof/>
          <w:sz w:val="24"/>
          <w:szCs w:val="24"/>
        </w:rPr>
        <w:lastRenderedPageBreak/>
        <w:drawing>
          <wp:inline distT="0" distB="0" distL="0" distR="0" wp14:anchorId="0FA44807" wp14:editId="2C6BE2ED">
            <wp:extent cx="4933950" cy="33915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944518" cy="3398824"/>
                    </a:xfrm>
                    <a:prstGeom prst="rect">
                      <a:avLst/>
                    </a:prstGeom>
                  </pic:spPr>
                </pic:pic>
              </a:graphicData>
            </a:graphic>
          </wp:inline>
        </w:drawing>
      </w:r>
    </w:p>
    <w:p w:rsidR="00F176E8" w:rsidRPr="00795C2F" w:rsidRDefault="00F176E8" w:rsidP="00F176E8">
      <w:pPr>
        <w:pStyle w:val="NormalWeb"/>
        <w:spacing w:before="0" w:beforeAutospacing="0" w:after="0" w:afterAutospacing="0" w:line="480" w:lineRule="auto"/>
        <w:jc w:val="both"/>
        <w:rPr>
          <w:color w:val="1C1E29"/>
        </w:rPr>
      </w:pPr>
      <w:r w:rsidRPr="00795C2F">
        <w:rPr>
          <w:color w:val="1C1E29"/>
        </w:rPr>
        <w:t>The presence of the alpha-L-Fucosidase Heparinase I Cathepsin 3 Cathepsin 6 Arylsulfatase G/ARSG Iduronate 2-Sulfatase/IDS in the blood serum of the patients with I-cell disease is because its escape can be compensated by the internalization via the endocytosis</w:t>
      </w:r>
      <w:r w:rsidR="003A10CD" w:rsidRPr="00795C2F">
        <w:rPr>
          <w:color w:val="1C1E29"/>
        </w:rPr>
        <w:t xml:space="preserve"> that is usually </w:t>
      </w:r>
      <w:r w:rsidRPr="00795C2F">
        <w:rPr>
          <w:color w:val="1C1E29"/>
        </w:rPr>
        <w:t xml:space="preserve"> dependent on the Mannose-6-phosphate and by a process dependent on this receptor. The high level of this compound in blood serum of the patients with I- cell disease can be attributed to the deficiency of the enzyme UDP-</w:t>
      </w:r>
      <w:r w:rsidRPr="00795C2F">
        <w:rPr>
          <w:rStyle w:val="Emphasis"/>
          <w:color w:val="1C1E29"/>
        </w:rPr>
        <w:t>N</w:t>
      </w:r>
      <w:r w:rsidRPr="00795C2F">
        <w:rPr>
          <w:color w:val="1C1E29"/>
        </w:rPr>
        <w:t> –acetylglucosamine involved in the modification of the nucleo-cytoplasmic proteins (Barranger &amp; Cabrera-Salazar, 2007).</w:t>
      </w:r>
    </w:p>
    <w:p w:rsidR="00F176E8" w:rsidRDefault="00F176E8" w:rsidP="00F176E8">
      <w:pPr>
        <w:pStyle w:val="NormalWeb"/>
        <w:spacing w:before="0" w:beforeAutospacing="0" w:after="0" w:afterAutospacing="0" w:line="480" w:lineRule="auto"/>
        <w:jc w:val="both"/>
        <w:rPr>
          <w:color w:val="1C1E29"/>
        </w:rPr>
      </w:pPr>
      <w:r w:rsidRPr="00795C2F">
        <w:rPr>
          <w:color w:val="1C1E29"/>
        </w:rPr>
        <w:t>The Enzyme deficiency leads to the accumulation of certain fatty substances referred to a mucolipidosis and particular complex carbohydrates known as the mucopolysaccharides within cells of many tissues within the body. The organs affected include the liver, spleen, even the heart leading to splenomegaly, hepatomegaly, and cardiomegaly respectively (Barranger &amp; Cabrera-Salazar, 2007).</w:t>
      </w:r>
    </w:p>
    <w:p w:rsidR="007F7106" w:rsidRPr="00795C2F" w:rsidRDefault="007F7106" w:rsidP="00F176E8">
      <w:pPr>
        <w:pStyle w:val="NormalWeb"/>
        <w:spacing w:before="0" w:beforeAutospacing="0" w:after="0" w:afterAutospacing="0" w:line="480" w:lineRule="auto"/>
        <w:jc w:val="both"/>
        <w:rPr>
          <w:color w:val="1C1E29"/>
        </w:rPr>
      </w:pPr>
    </w:p>
    <w:p w:rsidR="00D67170" w:rsidRDefault="00D67170" w:rsidP="00D67170">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t>Western blot</w:t>
      </w:r>
    </w:p>
    <w:p w:rsidR="002D13F5" w:rsidRDefault="002D13F5" w:rsidP="00D67170">
      <w:pPr>
        <w:spacing w:line="480" w:lineRule="auto"/>
        <w:jc w:val="both"/>
        <w:rPr>
          <w:rFonts w:ascii="Times New Roman" w:hAnsi="Times New Roman" w:cs="Times New Roman"/>
          <w:sz w:val="24"/>
          <w:szCs w:val="24"/>
        </w:rPr>
      </w:pPr>
      <w:r w:rsidRPr="002D13F5">
        <w:rPr>
          <w:rFonts w:ascii="Times New Roman" w:hAnsi="Times New Roman" w:cs="Times New Roman"/>
          <w:sz w:val="24"/>
          <w:szCs w:val="24"/>
        </w:rPr>
        <w:t>This method is used in the isolation of proteins from human cells if the target protein is very minute or small for the 1D band or the 2D spot and this makes it easy to be stained after the process of electrophoresis. To do the process of western blotting, it is essential to have an antibody specific to the protein to be isolated. In recent years, the western blot has become very possible in many cases because of its commercial accessibility of many varieties of antibodies.</w:t>
      </w:r>
    </w:p>
    <w:p w:rsidR="00D67170" w:rsidRPr="00795C2F" w:rsidRDefault="003A10CD" w:rsidP="00D67170">
      <w:pPr>
        <w:spacing w:line="480" w:lineRule="auto"/>
        <w:jc w:val="both"/>
        <w:rPr>
          <w:rFonts w:ascii="Times New Roman" w:eastAsia="Arial Unicode MS" w:hAnsi="Times New Roman" w:cs="Times New Roman"/>
          <w:color w:val="000000"/>
          <w:sz w:val="24"/>
          <w:szCs w:val="24"/>
          <w:shd w:val="clear" w:color="auto" w:fill="FFFFFF"/>
        </w:rPr>
      </w:pPr>
      <w:r w:rsidRPr="00795C2F">
        <w:rPr>
          <w:rFonts w:ascii="Times New Roman" w:hAnsi="Times New Roman" w:cs="Times New Roman"/>
          <w:sz w:val="24"/>
          <w:szCs w:val="24"/>
        </w:rPr>
        <w:t xml:space="preserve">In a western blot investigation, </w:t>
      </w:r>
      <w:r w:rsidR="00D67170" w:rsidRPr="00795C2F">
        <w:rPr>
          <w:rFonts w:ascii="Times New Roman" w:hAnsi="Times New Roman" w:cs="Times New Roman"/>
          <w:sz w:val="24"/>
          <w:szCs w:val="24"/>
        </w:rPr>
        <w:t xml:space="preserve">10 muscle sections (10 microns) are </w:t>
      </w:r>
      <w:r w:rsidRPr="00795C2F">
        <w:rPr>
          <w:rFonts w:ascii="Times New Roman" w:hAnsi="Times New Roman" w:cs="Times New Roman"/>
          <w:sz w:val="24"/>
          <w:szCs w:val="24"/>
        </w:rPr>
        <w:t xml:space="preserve">usually </w:t>
      </w:r>
      <w:r w:rsidR="00D67170" w:rsidRPr="00795C2F">
        <w:rPr>
          <w:rFonts w:ascii="Times New Roman" w:hAnsi="Times New Roman" w:cs="Times New Roman"/>
          <w:sz w:val="24"/>
          <w:szCs w:val="24"/>
        </w:rPr>
        <w:t xml:space="preserve">solubilized in </w:t>
      </w:r>
      <w:r w:rsidR="004552FE" w:rsidRPr="00795C2F">
        <w:rPr>
          <w:rFonts w:ascii="Times New Roman" w:hAnsi="Times New Roman" w:cs="Times New Roman"/>
          <w:sz w:val="24"/>
          <w:szCs w:val="24"/>
        </w:rPr>
        <w:t>a 400 ml</w:t>
      </w:r>
      <w:r w:rsidR="00D67170" w:rsidRPr="00795C2F">
        <w:rPr>
          <w:rFonts w:ascii="Times New Roman" w:hAnsi="Times New Roman" w:cs="Times New Roman"/>
          <w:sz w:val="24"/>
          <w:szCs w:val="24"/>
        </w:rPr>
        <w:t xml:space="preserve"> buffer</w:t>
      </w:r>
      <w:r w:rsidR="004552FE" w:rsidRPr="00795C2F">
        <w:rPr>
          <w:rFonts w:ascii="Times New Roman" w:hAnsi="Times New Roman" w:cs="Times New Roman"/>
          <w:sz w:val="24"/>
          <w:szCs w:val="24"/>
        </w:rPr>
        <w:t xml:space="preserve"> for lysis</w:t>
      </w:r>
      <w:r w:rsidR="00D67170" w:rsidRPr="00795C2F">
        <w:rPr>
          <w:rFonts w:ascii="Times New Roman" w:hAnsi="Times New Roman" w:cs="Times New Roman"/>
          <w:sz w:val="24"/>
          <w:szCs w:val="24"/>
        </w:rPr>
        <w:t xml:space="preserve"> on Tissuelyzer II </w:t>
      </w:r>
      <w:r w:rsidR="00B21454">
        <w:rPr>
          <w:rFonts w:ascii="Times New Roman" w:hAnsi="Times New Roman" w:cs="Times New Roman"/>
          <w:sz w:val="24"/>
          <w:szCs w:val="24"/>
        </w:rPr>
        <w:t>(30 s X 3), 4.4 ml</w:t>
      </w:r>
      <w:r w:rsidR="00D67170" w:rsidRPr="00795C2F">
        <w:rPr>
          <w:rFonts w:ascii="Times New Roman" w:hAnsi="Times New Roman" w:cs="Times New Roman"/>
          <w:sz w:val="24"/>
          <w:szCs w:val="24"/>
        </w:rPr>
        <w:t xml:space="preserve"> Tris, pH, 9% SDS, 4% gly</w:t>
      </w:r>
      <w:r w:rsidR="00EC4ADF">
        <w:rPr>
          <w:rFonts w:ascii="Times New Roman" w:hAnsi="Times New Roman" w:cs="Times New Roman"/>
          <w:sz w:val="24"/>
          <w:szCs w:val="24"/>
        </w:rPr>
        <w:t>cerol, 5% b-Mercaptoethanol), twenty five</w:t>
      </w:r>
      <w:r w:rsidR="00D67170" w:rsidRPr="00795C2F">
        <w:rPr>
          <w:rFonts w:ascii="Times New Roman" w:hAnsi="Times New Roman" w:cs="Times New Roman"/>
          <w:sz w:val="24"/>
          <w:szCs w:val="24"/>
        </w:rPr>
        <w:t xml:space="preserve"> m</w:t>
      </w:r>
      <w:r w:rsidR="00EC4ADF">
        <w:rPr>
          <w:rFonts w:ascii="Times New Roman" w:hAnsi="Times New Roman" w:cs="Times New Roman"/>
          <w:sz w:val="24"/>
          <w:szCs w:val="24"/>
        </w:rPr>
        <w:t>illi</w:t>
      </w:r>
      <w:r w:rsidR="00D67170" w:rsidRPr="00795C2F">
        <w:rPr>
          <w:rFonts w:ascii="Times New Roman" w:hAnsi="Times New Roman" w:cs="Times New Roman"/>
          <w:sz w:val="24"/>
          <w:szCs w:val="24"/>
        </w:rPr>
        <w:t>g</w:t>
      </w:r>
      <w:r w:rsidR="00EC4ADF">
        <w:rPr>
          <w:rFonts w:ascii="Times New Roman" w:hAnsi="Times New Roman" w:cs="Times New Roman"/>
          <w:sz w:val="24"/>
          <w:szCs w:val="24"/>
        </w:rPr>
        <w:t>ram</w:t>
      </w:r>
      <w:r w:rsidR="00D67170" w:rsidRPr="00795C2F">
        <w:rPr>
          <w:rFonts w:ascii="Times New Roman" w:hAnsi="Times New Roman" w:cs="Times New Roman"/>
          <w:sz w:val="24"/>
          <w:szCs w:val="24"/>
        </w:rPr>
        <w:t xml:space="preserve"> total protein </w:t>
      </w:r>
      <w:r w:rsidR="00EC4ADF">
        <w:rPr>
          <w:rFonts w:ascii="Times New Roman" w:hAnsi="Times New Roman" w:cs="Times New Roman"/>
          <w:sz w:val="24"/>
          <w:szCs w:val="24"/>
        </w:rPr>
        <w:t xml:space="preserve">ranging from </w:t>
      </w:r>
      <w:r w:rsidR="00D67170" w:rsidRPr="00795C2F">
        <w:rPr>
          <w:rFonts w:ascii="Times New Roman" w:hAnsi="Times New Roman" w:cs="Times New Roman"/>
          <w:sz w:val="24"/>
          <w:szCs w:val="24"/>
        </w:rPr>
        <w:t>2–8% Tris-Acetate precast gel (Invitrogen), Run</w:t>
      </w:r>
      <w:r w:rsidR="004552FE" w:rsidRPr="00795C2F">
        <w:rPr>
          <w:rFonts w:ascii="Times New Roman" w:hAnsi="Times New Roman" w:cs="Times New Roman"/>
          <w:sz w:val="24"/>
          <w:szCs w:val="24"/>
        </w:rPr>
        <w:t>ning</w:t>
      </w:r>
      <w:r w:rsidR="00D67170" w:rsidRPr="00795C2F">
        <w:rPr>
          <w:rFonts w:ascii="Times New Roman" w:hAnsi="Times New Roman" w:cs="Times New Roman"/>
          <w:sz w:val="24"/>
          <w:szCs w:val="24"/>
        </w:rPr>
        <w:t xml:space="preserve"> at 30 V (constant) for 5 h</w:t>
      </w:r>
      <w:r w:rsidR="004552FE" w:rsidRPr="00795C2F">
        <w:rPr>
          <w:rFonts w:ascii="Times New Roman" w:hAnsi="Times New Roman" w:cs="Times New Roman"/>
          <w:sz w:val="24"/>
          <w:szCs w:val="24"/>
        </w:rPr>
        <w:t>ours</w:t>
      </w:r>
      <w:r w:rsidR="00D67170" w:rsidRPr="00795C2F">
        <w:rPr>
          <w:rFonts w:ascii="Times New Roman" w:hAnsi="Times New Roman" w:cs="Times New Roman"/>
          <w:sz w:val="24"/>
          <w:szCs w:val="24"/>
        </w:rPr>
        <w:t xml:space="preserve"> and 30 min</w:t>
      </w:r>
      <w:r w:rsidR="004552FE" w:rsidRPr="00795C2F">
        <w:rPr>
          <w:rFonts w:ascii="Times New Roman" w:hAnsi="Times New Roman" w:cs="Times New Roman"/>
          <w:sz w:val="24"/>
          <w:szCs w:val="24"/>
        </w:rPr>
        <w:t>utes</w:t>
      </w:r>
      <w:r w:rsidR="00D67170" w:rsidRPr="00795C2F">
        <w:rPr>
          <w:rFonts w:ascii="Times New Roman" w:hAnsi="Times New Roman" w:cs="Times New Roman"/>
          <w:sz w:val="24"/>
          <w:szCs w:val="24"/>
        </w:rPr>
        <w:t xml:space="preserve">, at which time </w:t>
      </w:r>
      <w:r w:rsidR="004552FE" w:rsidRPr="00795C2F">
        <w:rPr>
          <w:rFonts w:ascii="Times New Roman" w:hAnsi="Times New Roman" w:cs="Times New Roman"/>
          <w:sz w:val="24"/>
          <w:szCs w:val="24"/>
        </w:rPr>
        <w:t>the voltage was increased to a hundred V for one hour,</w:t>
      </w:r>
      <w:r w:rsidR="00D67170" w:rsidRPr="00795C2F">
        <w:rPr>
          <w:rFonts w:ascii="Times New Roman" w:hAnsi="Times New Roman" w:cs="Times New Roman"/>
          <w:sz w:val="24"/>
          <w:szCs w:val="24"/>
        </w:rPr>
        <w:t xml:space="preserve"> </w:t>
      </w:r>
      <w:r w:rsidR="004552FE" w:rsidRPr="00795C2F">
        <w:rPr>
          <w:rFonts w:ascii="Times New Roman" w:hAnsi="Times New Roman" w:cs="Times New Roman"/>
          <w:sz w:val="24"/>
          <w:szCs w:val="24"/>
        </w:rPr>
        <w:t>nitrocellulose is transferred at three hundred mAmps for about eighteen hours</w:t>
      </w:r>
      <w:r w:rsidR="00D67170" w:rsidRPr="00795C2F">
        <w:rPr>
          <w:rFonts w:ascii="Times New Roman" w:hAnsi="Times New Roman" w:cs="Times New Roman"/>
          <w:sz w:val="24"/>
          <w:szCs w:val="24"/>
        </w:rPr>
        <w:t xml:space="preserve"> at 4°C, </w:t>
      </w:r>
      <w:r w:rsidR="004552FE" w:rsidRPr="00795C2F">
        <w:rPr>
          <w:rFonts w:ascii="Times New Roman" w:hAnsi="Times New Roman" w:cs="Times New Roman"/>
          <w:sz w:val="24"/>
          <w:szCs w:val="24"/>
        </w:rPr>
        <w:t xml:space="preserve">it is then </w:t>
      </w:r>
      <w:r w:rsidR="00D67170" w:rsidRPr="00795C2F">
        <w:rPr>
          <w:rFonts w:ascii="Times New Roman" w:hAnsi="Times New Roman" w:cs="Times New Roman"/>
          <w:sz w:val="24"/>
          <w:szCs w:val="24"/>
        </w:rPr>
        <w:t xml:space="preserve">Blocked in </w:t>
      </w:r>
      <w:r w:rsidR="004552FE" w:rsidRPr="00795C2F">
        <w:rPr>
          <w:rFonts w:ascii="Times New Roman" w:hAnsi="Times New Roman" w:cs="Times New Roman"/>
          <w:sz w:val="24"/>
          <w:szCs w:val="24"/>
        </w:rPr>
        <w:t>about five percent of</w:t>
      </w:r>
      <w:r w:rsidR="00D67170" w:rsidRPr="00795C2F">
        <w:rPr>
          <w:rFonts w:ascii="Times New Roman" w:hAnsi="Times New Roman" w:cs="Times New Roman"/>
          <w:sz w:val="24"/>
          <w:szCs w:val="24"/>
        </w:rPr>
        <w:t xml:space="preserve"> non-fat dry milk </w:t>
      </w:r>
      <w:r w:rsidR="004552FE" w:rsidRPr="00795C2F">
        <w:rPr>
          <w:rFonts w:ascii="Times New Roman" w:hAnsi="Times New Roman" w:cs="Times New Roman"/>
          <w:sz w:val="24"/>
          <w:szCs w:val="24"/>
        </w:rPr>
        <w:t xml:space="preserve">that is </w:t>
      </w:r>
      <w:r w:rsidR="00B21454">
        <w:rPr>
          <w:rFonts w:ascii="Times New Roman" w:hAnsi="Times New Roman" w:cs="Times New Roman"/>
          <w:sz w:val="24"/>
          <w:szCs w:val="24"/>
        </w:rPr>
        <w:t>diluted in TBST</w:t>
      </w:r>
      <w:r w:rsidR="00D67170" w:rsidRPr="00795C2F">
        <w:rPr>
          <w:rFonts w:ascii="Times New Roman" w:hAnsi="Times New Roman" w:cs="Times New Roman"/>
          <w:sz w:val="24"/>
          <w:szCs w:val="24"/>
        </w:rPr>
        <w:t xml:space="preserve"> for</w:t>
      </w:r>
      <w:r w:rsidR="004552FE" w:rsidRPr="00795C2F">
        <w:rPr>
          <w:rFonts w:ascii="Times New Roman" w:hAnsi="Times New Roman" w:cs="Times New Roman"/>
          <w:sz w:val="24"/>
          <w:szCs w:val="24"/>
        </w:rPr>
        <w:t xml:space="preserve"> one and half hours</w:t>
      </w:r>
      <w:r w:rsidR="00D67170" w:rsidRPr="00795C2F">
        <w:rPr>
          <w:rFonts w:ascii="Times New Roman" w:hAnsi="Times New Roman" w:cs="Times New Roman"/>
          <w:sz w:val="24"/>
          <w:szCs w:val="24"/>
        </w:rPr>
        <w:t xml:space="preserve"> at </w:t>
      </w:r>
      <w:r w:rsidR="004552FE" w:rsidRPr="00795C2F">
        <w:rPr>
          <w:rFonts w:ascii="Times New Roman" w:hAnsi="Times New Roman" w:cs="Times New Roman"/>
          <w:sz w:val="24"/>
          <w:szCs w:val="24"/>
        </w:rPr>
        <w:t xml:space="preserve">a </w:t>
      </w:r>
      <w:r w:rsidR="00D67170" w:rsidRPr="00795C2F">
        <w:rPr>
          <w:rFonts w:ascii="Times New Roman" w:hAnsi="Times New Roman" w:cs="Times New Roman"/>
          <w:sz w:val="24"/>
          <w:szCs w:val="24"/>
        </w:rPr>
        <w:t xml:space="preserve">room temperature, </w:t>
      </w:r>
      <w:r w:rsidR="004552FE" w:rsidRPr="00795C2F">
        <w:rPr>
          <w:rFonts w:ascii="Times New Roman" w:hAnsi="Times New Roman" w:cs="Times New Roman"/>
          <w:sz w:val="24"/>
          <w:szCs w:val="24"/>
        </w:rPr>
        <w:t>the p</w:t>
      </w:r>
      <w:r w:rsidR="00D67170" w:rsidRPr="00795C2F">
        <w:rPr>
          <w:rFonts w:ascii="Times New Roman" w:hAnsi="Times New Roman" w:cs="Times New Roman"/>
          <w:sz w:val="24"/>
          <w:szCs w:val="24"/>
        </w:rPr>
        <w:t>rimary antibod</w:t>
      </w:r>
      <w:r w:rsidR="00B21454">
        <w:rPr>
          <w:rFonts w:ascii="Times New Roman" w:hAnsi="Times New Roman" w:cs="Times New Roman"/>
          <w:sz w:val="24"/>
          <w:szCs w:val="24"/>
        </w:rPr>
        <w:t>ies for nineteen</w:t>
      </w:r>
      <w:r w:rsidR="00D67170" w:rsidRPr="00795C2F">
        <w:rPr>
          <w:rFonts w:ascii="Times New Roman" w:hAnsi="Times New Roman" w:cs="Times New Roman"/>
          <w:sz w:val="24"/>
          <w:szCs w:val="24"/>
        </w:rPr>
        <w:t xml:space="preserve"> hours at 4 deg</w:t>
      </w:r>
      <w:r w:rsidR="00B21454">
        <w:rPr>
          <w:rFonts w:ascii="Times New Roman" w:hAnsi="Times New Roman" w:cs="Times New Roman"/>
          <w:sz w:val="24"/>
          <w:szCs w:val="24"/>
        </w:rPr>
        <w:t>rees</w:t>
      </w:r>
      <w:r w:rsidR="00D67170" w:rsidRPr="00795C2F">
        <w:rPr>
          <w:rFonts w:ascii="Times New Roman" w:hAnsi="Times New Roman" w:cs="Times New Roman"/>
          <w:sz w:val="24"/>
          <w:szCs w:val="24"/>
        </w:rPr>
        <w:t xml:space="preserve"> C: dystrophin (Ab152</w:t>
      </w:r>
      <w:r w:rsidR="004552FE" w:rsidRPr="00795C2F">
        <w:rPr>
          <w:rFonts w:ascii="Times New Roman" w:hAnsi="Times New Roman" w:cs="Times New Roman"/>
          <w:sz w:val="24"/>
          <w:szCs w:val="24"/>
        </w:rPr>
        <w:t>77) at 1 mg/ml, Pan-actin at 0.5 mg/ml) for nineteen</w:t>
      </w:r>
      <w:r w:rsidR="00D67170" w:rsidRPr="00795C2F">
        <w:rPr>
          <w:rFonts w:ascii="Times New Roman" w:hAnsi="Times New Roman" w:cs="Times New Roman"/>
          <w:sz w:val="24"/>
          <w:szCs w:val="24"/>
        </w:rPr>
        <w:t xml:space="preserve"> </w:t>
      </w:r>
      <w:r w:rsidR="007B7D04">
        <w:rPr>
          <w:rFonts w:ascii="Times New Roman" w:hAnsi="Times New Roman" w:cs="Times New Roman"/>
          <w:sz w:val="24"/>
          <w:szCs w:val="24"/>
        </w:rPr>
        <w:t>hours</w:t>
      </w:r>
      <w:r w:rsidR="00D67170" w:rsidRPr="00795C2F">
        <w:rPr>
          <w:rFonts w:ascii="Times New Roman" w:hAnsi="Times New Roman" w:cs="Times New Roman"/>
          <w:sz w:val="24"/>
          <w:szCs w:val="24"/>
        </w:rPr>
        <w:t xml:space="preserve"> at</w:t>
      </w:r>
      <w:r w:rsidR="00EC4ADF">
        <w:rPr>
          <w:rFonts w:ascii="Times New Roman" w:hAnsi="Times New Roman" w:cs="Times New Roman"/>
          <w:sz w:val="24"/>
          <w:szCs w:val="24"/>
        </w:rPr>
        <w:t xml:space="preserve"> 4°, Room temp incubation for thirty</w:t>
      </w:r>
      <w:r w:rsidR="00D67170" w:rsidRPr="00795C2F">
        <w:rPr>
          <w:rFonts w:ascii="Times New Roman" w:hAnsi="Times New Roman" w:cs="Times New Roman"/>
          <w:sz w:val="24"/>
          <w:szCs w:val="24"/>
        </w:rPr>
        <w:t xml:space="preserve"> min</w:t>
      </w:r>
      <w:r w:rsidR="00EC4ADF">
        <w:rPr>
          <w:rFonts w:ascii="Times New Roman" w:hAnsi="Times New Roman" w:cs="Times New Roman"/>
          <w:sz w:val="24"/>
          <w:szCs w:val="24"/>
        </w:rPr>
        <w:t>utes</w:t>
      </w:r>
      <w:r w:rsidR="00D67170" w:rsidRPr="00795C2F">
        <w:rPr>
          <w:rFonts w:ascii="Times New Roman" w:hAnsi="Times New Roman" w:cs="Times New Roman"/>
          <w:sz w:val="24"/>
          <w:szCs w:val="24"/>
        </w:rPr>
        <w:t xml:space="preserve"> with the HRP-conjugated secondary antibodies: Goat anti-rabbit (1:15000), Goat anti-mouse I</w:t>
      </w:r>
      <w:r w:rsidR="00EC4ADF">
        <w:rPr>
          <w:rFonts w:ascii="Times New Roman" w:hAnsi="Times New Roman" w:cs="Times New Roman"/>
          <w:sz w:val="24"/>
          <w:szCs w:val="24"/>
        </w:rPr>
        <w:t xml:space="preserve">mmuno-globulin </w:t>
      </w:r>
      <w:r w:rsidR="00D67170" w:rsidRPr="00795C2F">
        <w:rPr>
          <w:rFonts w:ascii="Times New Roman" w:hAnsi="Times New Roman" w:cs="Times New Roman"/>
          <w:sz w:val="24"/>
          <w:szCs w:val="24"/>
        </w:rPr>
        <w:t>G (H+L) (1:500000), SuperSignal West Femto Maximum Sensitive Substrate (Thermo Scientific) on Kodak Biomax Light film • B</w:t>
      </w:r>
      <w:r w:rsidR="00997DCB">
        <w:rPr>
          <w:rFonts w:ascii="Times New Roman" w:hAnsi="Times New Roman" w:cs="Times New Roman"/>
          <w:sz w:val="24"/>
          <w:szCs w:val="24"/>
        </w:rPr>
        <w:t>ands quantified using the</w:t>
      </w:r>
      <w:r w:rsidR="00D67170" w:rsidRPr="00795C2F">
        <w:rPr>
          <w:rFonts w:ascii="Times New Roman" w:hAnsi="Times New Roman" w:cs="Times New Roman"/>
          <w:sz w:val="24"/>
          <w:szCs w:val="24"/>
        </w:rPr>
        <w:t xml:space="preserve"> gel analyser function, Dystrophin band intensity was normalized to pan-actin in each lane, Expressed as a percentage of the control specimen dystrophin signal</w:t>
      </w:r>
      <w:r w:rsidR="00291F00" w:rsidRPr="00795C2F">
        <w:rPr>
          <w:rFonts w:ascii="Times New Roman" w:hAnsi="Times New Roman" w:cs="Times New Roman"/>
          <w:sz w:val="24"/>
          <w:szCs w:val="24"/>
        </w:rPr>
        <w:t xml:space="preserve"> (</w:t>
      </w:r>
      <w:r w:rsidR="00291F00" w:rsidRPr="00795C2F">
        <w:rPr>
          <w:rFonts w:ascii="Times New Roman" w:eastAsia="Arial Unicode MS" w:hAnsi="Times New Roman" w:cs="Times New Roman"/>
          <w:color w:val="000000"/>
          <w:sz w:val="24"/>
          <w:szCs w:val="24"/>
          <w:shd w:val="clear" w:color="auto" w:fill="FFFFFF"/>
        </w:rPr>
        <w:t>In Kurie</w:t>
      </w:r>
      <w:r w:rsidR="00997DCB">
        <w:rPr>
          <w:rFonts w:ascii="Times New Roman" w:eastAsia="Arial Unicode MS" w:hAnsi="Times New Roman" w:cs="Times New Roman"/>
          <w:color w:val="000000"/>
          <w:sz w:val="24"/>
          <w:szCs w:val="24"/>
          <w:shd w:val="clear" w:color="auto" w:fill="FFFFFF"/>
        </w:rPr>
        <w:t xml:space="preserve">n </w:t>
      </w:r>
      <w:r w:rsidR="004552FE" w:rsidRPr="00795C2F">
        <w:rPr>
          <w:rFonts w:ascii="Times New Roman" w:eastAsia="Arial Unicode MS" w:hAnsi="Times New Roman" w:cs="Times New Roman"/>
          <w:color w:val="000000"/>
          <w:sz w:val="24"/>
          <w:szCs w:val="24"/>
          <w:shd w:val="clear" w:color="auto" w:fill="FFFFFF"/>
        </w:rPr>
        <w:t>&amp; In Scofield, 2015).</w:t>
      </w:r>
    </w:p>
    <w:p w:rsidR="002D13F5" w:rsidRPr="002D13F5" w:rsidRDefault="00B43D72" w:rsidP="002D13F5">
      <w:pPr>
        <w:spacing w:line="480" w:lineRule="auto"/>
        <w:jc w:val="both"/>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 xml:space="preserve">According to </w:t>
      </w:r>
      <w:r w:rsidRPr="00795C2F">
        <w:rPr>
          <w:rFonts w:ascii="Times New Roman" w:eastAsia="Arial Unicode MS" w:hAnsi="Times New Roman" w:cs="Times New Roman"/>
          <w:color w:val="000000"/>
          <w:sz w:val="24"/>
          <w:szCs w:val="24"/>
          <w:shd w:val="clear" w:color="auto" w:fill="FFFFFF"/>
        </w:rPr>
        <w:t>In Kurie</w:t>
      </w:r>
      <w:r>
        <w:rPr>
          <w:rFonts w:ascii="Times New Roman" w:eastAsia="Arial Unicode MS" w:hAnsi="Times New Roman" w:cs="Times New Roman"/>
          <w:color w:val="000000"/>
          <w:sz w:val="24"/>
          <w:szCs w:val="24"/>
          <w:shd w:val="clear" w:color="auto" w:fill="FFFFFF"/>
        </w:rPr>
        <w:t>n &amp; In Scofield (2015), p</w:t>
      </w:r>
      <w:r w:rsidR="002D13F5" w:rsidRPr="002D13F5">
        <w:rPr>
          <w:rFonts w:ascii="Times New Roman" w:eastAsia="Arial Unicode MS" w:hAnsi="Times New Roman" w:cs="Times New Roman"/>
          <w:color w:val="000000"/>
          <w:sz w:val="24"/>
          <w:szCs w:val="24"/>
          <w:shd w:val="clear" w:color="auto" w:fill="FFFFFF"/>
        </w:rPr>
        <w:t>roteins can be isolated from human cells through the use of antibodies. In this case, a process of immuno-precipitation is utilized and remains a good enrichment method for proteins. Because the antibody binds to specific proteins, the final product will then be easily obtained from the final product of the antibody and the specific protein. Either G-conjugated protein agarose or even the A-conjugated protein that binds to many antibodies it can be utilized very often implying that any form of antibody can be used to get minute amounts of targeted protein through many rounds of centrifugation. In this case, I will use the fluorochrome-conjugated monoclonal antibody in my experiment</w:t>
      </w:r>
      <w:r w:rsidR="007B7D04">
        <w:rPr>
          <w:rFonts w:ascii="Times New Roman" w:eastAsia="Arial Unicode MS" w:hAnsi="Times New Roman" w:cs="Times New Roman"/>
          <w:color w:val="000000"/>
          <w:sz w:val="24"/>
          <w:szCs w:val="24"/>
          <w:shd w:val="clear" w:color="auto" w:fill="FFFFFF"/>
        </w:rPr>
        <w:t xml:space="preserve"> </w:t>
      </w:r>
      <w:r w:rsidR="007B7D04" w:rsidRPr="00795C2F">
        <w:rPr>
          <w:rFonts w:ascii="Times New Roman" w:hAnsi="Times New Roman" w:cs="Times New Roman"/>
          <w:sz w:val="24"/>
          <w:szCs w:val="24"/>
        </w:rPr>
        <w:t>(</w:t>
      </w:r>
      <w:r w:rsidR="007B7D04" w:rsidRPr="00795C2F">
        <w:rPr>
          <w:rFonts w:ascii="Times New Roman" w:eastAsia="Arial Unicode MS" w:hAnsi="Times New Roman" w:cs="Times New Roman"/>
          <w:color w:val="000000"/>
          <w:sz w:val="24"/>
          <w:szCs w:val="24"/>
          <w:shd w:val="clear" w:color="auto" w:fill="FFFFFF"/>
        </w:rPr>
        <w:t>In Kurie</w:t>
      </w:r>
      <w:r w:rsidR="007B7D04">
        <w:rPr>
          <w:rFonts w:ascii="Times New Roman" w:eastAsia="Arial Unicode MS" w:hAnsi="Times New Roman" w:cs="Times New Roman"/>
          <w:color w:val="000000"/>
          <w:sz w:val="24"/>
          <w:szCs w:val="24"/>
          <w:shd w:val="clear" w:color="auto" w:fill="FFFFFF"/>
        </w:rPr>
        <w:t>n &amp; In Scofield, 2015)</w:t>
      </w:r>
      <w:r w:rsidR="002D13F5" w:rsidRPr="002D13F5">
        <w:rPr>
          <w:rFonts w:ascii="Times New Roman" w:eastAsia="Arial Unicode MS" w:hAnsi="Times New Roman" w:cs="Times New Roman"/>
          <w:color w:val="000000"/>
          <w:sz w:val="24"/>
          <w:szCs w:val="24"/>
          <w:shd w:val="clear" w:color="auto" w:fill="FFFFFF"/>
        </w:rPr>
        <w:t>.</w:t>
      </w:r>
    </w:p>
    <w:p w:rsidR="002D13F5" w:rsidRDefault="002D13F5" w:rsidP="002D13F5">
      <w:pPr>
        <w:spacing w:line="480" w:lineRule="auto"/>
        <w:jc w:val="both"/>
        <w:rPr>
          <w:rFonts w:ascii="Times New Roman" w:eastAsia="Arial Unicode MS" w:hAnsi="Times New Roman" w:cs="Times New Roman"/>
          <w:color w:val="000000"/>
          <w:sz w:val="24"/>
          <w:szCs w:val="24"/>
          <w:shd w:val="clear" w:color="auto" w:fill="FFFFFF"/>
        </w:rPr>
      </w:pPr>
      <w:r w:rsidRPr="002D13F5">
        <w:rPr>
          <w:rFonts w:ascii="Times New Roman" w:eastAsia="Arial Unicode MS" w:hAnsi="Times New Roman" w:cs="Times New Roman"/>
          <w:color w:val="000000"/>
          <w:sz w:val="24"/>
          <w:szCs w:val="24"/>
          <w:shd w:val="clear" w:color="auto" w:fill="FFFFFF"/>
        </w:rPr>
        <w:t>The separation of gel is usually done through the process of electrophoresis. In this case, a large quantity of the protein targeted can be prepared and separated as per the nature of their molecular size</w:t>
      </w:r>
      <w:r w:rsidR="00490E9A">
        <w:rPr>
          <w:rFonts w:ascii="Times New Roman" w:eastAsia="Arial Unicode MS" w:hAnsi="Times New Roman" w:cs="Times New Roman"/>
          <w:color w:val="000000"/>
          <w:sz w:val="24"/>
          <w:szCs w:val="24"/>
          <w:shd w:val="clear" w:color="auto" w:fill="FFFFFF"/>
        </w:rPr>
        <w:t xml:space="preserve"> </w:t>
      </w:r>
      <w:r w:rsidR="00490E9A" w:rsidRPr="00795C2F">
        <w:rPr>
          <w:rFonts w:ascii="Times New Roman" w:hAnsi="Times New Roman" w:cs="Times New Roman"/>
          <w:sz w:val="24"/>
          <w:szCs w:val="24"/>
        </w:rPr>
        <w:t>(</w:t>
      </w:r>
      <w:r w:rsidR="00490E9A" w:rsidRPr="00795C2F">
        <w:rPr>
          <w:rFonts w:ascii="Times New Roman" w:eastAsia="Arial Unicode MS" w:hAnsi="Times New Roman" w:cs="Times New Roman"/>
          <w:color w:val="000000"/>
          <w:sz w:val="24"/>
          <w:szCs w:val="24"/>
          <w:shd w:val="clear" w:color="auto" w:fill="FFFFFF"/>
        </w:rPr>
        <w:t>In Kurie</w:t>
      </w:r>
      <w:r w:rsidR="00490E9A">
        <w:rPr>
          <w:rFonts w:ascii="Times New Roman" w:eastAsia="Arial Unicode MS" w:hAnsi="Times New Roman" w:cs="Times New Roman"/>
          <w:color w:val="000000"/>
          <w:sz w:val="24"/>
          <w:szCs w:val="24"/>
          <w:shd w:val="clear" w:color="auto" w:fill="FFFFFF"/>
        </w:rPr>
        <w:t>n &amp; In Scofield, 2015)</w:t>
      </w:r>
      <w:r w:rsidRPr="002D13F5">
        <w:rPr>
          <w:rFonts w:ascii="Times New Roman" w:eastAsia="Arial Unicode MS" w:hAnsi="Times New Roman" w:cs="Times New Roman"/>
          <w:color w:val="000000"/>
          <w:sz w:val="24"/>
          <w:szCs w:val="24"/>
          <w:shd w:val="clear" w:color="auto" w:fill="FFFFFF"/>
        </w:rPr>
        <w:t>. If the molecular weight is known, the approximation of the position of the band position can easily be cut and then used for further investigation and analysis like the mass spectrometry. Generally, the sodium dodecyl sulfate-polyacrylamide gel electrophoresis (SDS-PAGE) gives the one dimensional or the 1D results when making analysis by size and it is also possible to perform two dimensional through the performance of the isoelectric focusing and then loading the resulting gel tube and the separating proteins as per their PI value</w:t>
      </w:r>
      <w:r w:rsidR="000546F6" w:rsidRPr="00795C2F">
        <w:rPr>
          <w:rFonts w:ascii="Times New Roman" w:hAnsi="Times New Roman" w:cs="Times New Roman"/>
          <w:sz w:val="24"/>
          <w:szCs w:val="24"/>
        </w:rPr>
        <w:t>(</w:t>
      </w:r>
      <w:r w:rsidR="000546F6" w:rsidRPr="00795C2F">
        <w:rPr>
          <w:rFonts w:ascii="Times New Roman" w:eastAsia="Arial Unicode MS" w:hAnsi="Times New Roman" w:cs="Times New Roman"/>
          <w:color w:val="000000"/>
          <w:sz w:val="24"/>
          <w:szCs w:val="24"/>
          <w:shd w:val="clear" w:color="auto" w:fill="FFFFFF"/>
        </w:rPr>
        <w:t>In Kurie</w:t>
      </w:r>
      <w:r w:rsidR="000546F6">
        <w:rPr>
          <w:rFonts w:ascii="Times New Roman" w:eastAsia="Arial Unicode MS" w:hAnsi="Times New Roman" w:cs="Times New Roman"/>
          <w:color w:val="000000"/>
          <w:sz w:val="24"/>
          <w:szCs w:val="24"/>
          <w:shd w:val="clear" w:color="auto" w:fill="FFFFFF"/>
        </w:rPr>
        <w:t>n &amp; In Scofield, 2015)</w:t>
      </w:r>
      <w:r w:rsidRPr="002D13F5">
        <w:rPr>
          <w:rFonts w:ascii="Times New Roman" w:eastAsia="Arial Unicode MS" w:hAnsi="Times New Roman" w:cs="Times New Roman"/>
          <w:color w:val="000000"/>
          <w:sz w:val="24"/>
          <w:szCs w:val="24"/>
          <w:shd w:val="clear" w:color="auto" w:fill="FFFFFF"/>
        </w:rPr>
        <w:t>.</w:t>
      </w:r>
    </w:p>
    <w:p w:rsidR="00D67170" w:rsidRPr="00795C2F" w:rsidRDefault="00D67170" w:rsidP="002D13F5">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t>Q2 Chapter 11</w:t>
      </w:r>
    </w:p>
    <w:p w:rsidR="00D67170" w:rsidRPr="00795C2F" w:rsidRDefault="00D67170" w:rsidP="00D67170">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t xml:space="preserve">Various models and mechanisms alter synaptic transmission following research is done to examine the presynaptic component of transmitter release. In this case, the first model is the APP/PSI transgenic mouse model of Alzheimer’s disease. the APP/PSI mouse model of Alzheimer’s disease exhibits a remarkable elevation of the beta-amyloid production that is linked with certain behavioral abnormalities, while the senescence-accelerated mouse prone 8 (SAMP8) is characterized by early and age-related deterioration of the learning and memory. </w:t>
      </w:r>
      <w:r w:rsidR="003A10CD" w:rsidRPr="00795C2F">
        <w:rPr>
          <w:rFonts w:ascii="Times New Roman" w:hAnsi="Times New Roman" w:cs="Times New Roman"/>
          <w:sz w:val="24"/>
          <w:szCs w:val="24"/>
        </w:rPr>
        <w:t>The second mode is the</w:t>
      </w:r>
      <w:r w:rsidRPr="00795C2F">
        <w:rPr>
          <w:rFonts w:ascii="Times New Roman" w:hAnsi="Times New Roman" w:cs="Times New Roman"/>
          <w:sz w:val="24"/>
          <w:szCs w:val="24"/>
        </w:rPr>
        <w:t xml:space="preserve"> model of Na, K-ATPase hypothesis of the bipolar disorder proposes that manic symptoms are related to the modest decrease I the Na, K pump activity and the subsequent increase in the neuronal excitability whereas the bipolar depression inconsequent to a big increase in the pump activity and resultant decrease in neurotransmitter release</w:t>
      </w:r>
      <w:r w:rsidR="003C5D69" w:rsidRPr="00795C2F">
        <w:rPr>
          <w:rFonts w:ascii="Times New Roman" w:hAnsi="Times New Roman" w:cs="Times New Roman"/>
          <w:sz w:val="24"/>
          <w:szCs w:val="24"/>
        </w:rPr>
        <w:t xml:space="preserve"> (</w:t>
      </w:r>
      <w:r w:rsidR="003C5D69" w:rsidRPr="00795C2F">
        <w:rPr>
          <w:rFonts w:ascii="Times New Roman" w:eastAsia="Arial Unicode MS" w:hAnsi="Times New Roman" w:cs="Times New Roman"/>
          <w:color w:val="000000"/>
          <w:sz w:val="24"/>
          <w:szCs w:val="24"/>
          <w:shd w:val="clear" w:color="auto" w:fill="FFFFFF"/>
        </w:rPr>
        <w:t>In Ruben, 2014)</w:t>
      </w:r>
      <w:r w:rsidRPr="00795C2F">
        <w:rPr>
          <w:rFonts w:ascii="Times New Roman" w:hAnsi="Times New Roman" w:cs="Times New Roman"/>
          <w:sz w:val="24"/>
          <w:szCs w:val="24"/>
        </w:rPr>
        <w:t>. Changes in particle transport and dispersion with age may offer a clarification for clinical perceptions of formative varieties in lithium reaction, including the clear age-related decrease in maximal toxic lithium level, decrease in remedial blood level range, and maybe an expansion in the restorative viability of lithium. The clinical ramifications of the speculation in regards to the course of the bipolar issue would incorporate clarification of the expanding recurrence and seriousness of scenes with propelling age. The speculation makes various expectations that are testable and proposes new roads of pharmacological intercession</w:t>
      </w:r>
      <w:r w:rsidR="003C5D69" w:rsidRPr="00795C2F">
        <w:rPr>
          <w:rFonts w:ascii="Times New Roman" w:hAnsi="Times New Roman" w:cs="Times New Roman"/>
          <w:sz w:val="24"/>
          <w:szCs w:val="24"/>
        </w:rPr>
        <w:t xml:space="preserve"> (</w:t>
      </w:r>
      <w:r w:rsidR="003C5D69" w:rsidRPr="00795C2F">
        <w:rPr>
          <w:rFonts w:ascii="Times New Roman" w:eastAsia="Arial Unicode MS" w:hAnsi="Times New Roman" w:cs="Times New Roman"/>
          <w:color w:val="000000"/>
          <w:sz w:val="24"/>
          <w:szCs w:val="24"/>
          <w:shd w:val="clear" w:color="auto" w:fill="FFFFFF"/>
        </w:rPr>
        <w:t>In Ruben, 2014)</w:t>
      </w:r>
      <w:r w:rsidRPr="00795C2F">
        <w:rPr>
          <w:rFonts w:ascii="Times New Roman" w:hAnsi="Times New Roman" w:cs="Times New Roman"/>
          <w:sz w:val="24"/>
          <w:szCs w:val="24"/>
        </w:rPr>
        <w:t>.</w:t>
      </w:r>
    </w:p>
    <w:p w:rsidR="004A74D2" w:rsidRPr="00795C2F" w:rsidRDefault="00D67170" w:rsidP="00D67170">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t>The Na+ and K+ and Ca+ play an essential role in the neuronal signaling due to the conduction of the activity of the neurons and therefore control the neuron excitability maintained by the ionic environment. The Na/K-ATPase consists of at least two mandatory and essential subunits the alpha and beta subunits. In this case, both the isoforms of the subunits are expressed in human cells in a tissue-specific manner. In the brain tissue, the alpha subunit is maintaining glial cells the astrocytes, and the loss of function of the Na/K-ATPase may result in neuronal hyperexcitability</w:t>
      </w:r>
      <w:r w:rsidR="0024735D" w:rsidRPr="00795C2F">
        <w:rPr>
          <w:rFonts w:ascii="Times New Roman" w:hAnsi="Times New Roman" w:cs="Times New Roman"/>
          <w:sz w:val="24"/>
          <w:szCs w:val="24"/>
        </w:rPr>
        <w:t xml:space="preserve"> (</w:t>
      </w:r>
      <w:r w:rsidR="0024735D" w:rsidRPr="00795C2F">
        <w:rPr>
          <w:rFonts w:ascii="Times New Roman" w:eastAsia="Arial Unicode MS" w:hAnsi="Times New Roman" w:cs="Times New Roman"/>
          <w:color w:val="000000"/>
          <w:sz w:val="24"/>
          <w:szCs w:val="24"/>
          <w:shd w:val="clear" w:color="auto" w:fill="FFFFFF"/>
        </w:rPr>
        <w:t>In Ruben, 2014)</w:t>
      </w:r>
      <w:r w:rsidRPr="00795C2F">
        <w:rPr>
          <w:rFonts w:ascii="Times New Roman" w:hAnsi="Times New Roman" w:cs="Times New Roman"/>
          <w:sz w:val="24"/>
          <w:szCs w:val="24"/>
        </w:rPr>
        <w:t>. In this case, the pump maintains a gradient of the Na+ and the K+ ions that depends on these gradients.  In patients experiencing a hereditarily acquired subform of migraine with emanation (familial hemiplegic headache), transformations of the ATP1A2 quality which codes for the α2-subunit of the Na+/K+-A</w:t>
      </w:r>
      <w:r w:rsidR="004A74D2" w:rsidRPr="00795C2F">
        <w:rPr>
          <w:rFonts w:ascii="Times New Roman" w:hAnsi="Times New Roman" w:cs="Times New Roman"/>
          <w:sz w:val="24"/>
          <w:szCs w:val="24"/>
        </w:rPr>
        <w:t>TPase, have been distinguished.</w:t>
      </w:r>
    </w:p>
    <w:p w:rsidR="00D67170" w:rsidRPr="00795C2F" w:rsidRDefault="004A74D2" w:rsidP="00D67170">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t xml:space="preserve">The experiment of the </w:t>
      </w:r>
      <w:r w:rsidR="00D67170" w:rsidRPr="00795C2F">
        <w:rPr>
          <w:rFonts w:ascii="Times New Roman" w:hAnsi="Times New Roman" w:cs="Times New Roman"/>
          <w:sz w:val="24"/>
          <w:szCs w:val="24"/>
        </w:rPr>
        <w:t>functional analysis of the human Na+/K+ -ATPase familial or sporadic hemiplegic migraine mutations expressed in Xenopus oocytes justifies the hypothesis of Na+/K+ ATPase in the development of chronic synaptic fatigue</w:t>
      </w:r>
      <w:r w:rsidR="0024735D" w:rsidRPr="00795C2F">
        <w:rPr>
          <w:rFonts w:ascii="Times New Roman" w:hAnsi="Times New Roman" w:cs="Times New Roman"/>
          <w:sz w:val="24"/>
          <w:szCs w:val="24"/>
        </w:rPr>
        <w:t xml:space="preserve"> </w:t>
      </w:r>
      <w:r w:rsidRPr="00795C2F">
        <w:rPr>
          <w:rFonts w:ascii="Times New Roman" w:hAnsi="Times New Roman" w:cs="Times New Roman"/>
          <w:sz w:val="24"/>
          <w:szCs w:val="24"/>
        </w:rPr>
        <w:t>validates my hypothesis above.</w:t>
      </w:r>
      <w:r w:rsidR="0024735D" w:rsidRPr="00795C2F">
        <w:rPr>
          <w:rFonts w:ascii="Times New Roman" w:hAnsi="Times New Roman" w:cs="Times New Roman"/>
          <w:sz w:val="24"/>
          <w:szCs w:val="24"/>
        </w:rPr>
        <w:t>(</w:t>
      </w:r>
      <w:r w:rsidR="0024735D" w:rsidRPr="00795C2F">
        <w:rPr>
          <w:rFonts w:ascii="Times New Roman" w:eastAsia="Arial Unicode MS" w:hAnsi="Times New Roman" w:cs="Times New Roman"/>
          <w:color w:val="000000"/>
          <w:sz w:val="24"/>
          <w:szCs w:val="24"/>
          <w:shd w:val="clear" w:color="auto" w:fill="FFFFFF"/>
        </w:rPr>
        <w:t>In Ruben, 2014)</w:t>
      </w:r>
      <w:r w:rsidR="00D67170" w:rsidRPr="00795C2F">
        <w:rPr>
          <w:rFonts w:ascii="Times New Roman" w:hAnsi="Times New Roman" w:cs="Times New Roman"/>
          <w:sz w:val="24"/>
          <w:szCs w:val="24"/>
        </w:rPr>
        <w:t>.</w:t>
      </w:r>
    </w:p>
    <w:p w:rsidR="00D67170" w:rsidRPr="00795C2F" w:rsidRDefault="00D67170" w:rsidP="00D67170">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t>Q3 Chapter 11</w:t>
      </w:r>
    </w:p>
    <w:p w:rsidR="00D67170" w:rsidRPr="00795C2F" w:rsidRDefault="00D67170" w:rsidP="00D67170">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t>The mutations in the SCN1A, the gene that encodes the alpha subunit of the voltage-gated Na+ channel Nav1.1 can cause disorders such as epilepsy. In this case, the mutation of these genes alters the ability of the sodium channel to reach a maximum positive membrane potential of +50 mV in 0.5 seconds. The SCN1A mutation predominantly impairs the Na+ channel activity in the interneurons and hence leading to decreased inhibition. The decreased inhibition may be the main reason behind the SCN1A derived disorders</w:t>
      </w:r>
      <w:r w:rsidR="00882B2E" w:rsidRPr="00795C2F">
        <w:rPr>
          <w:rFonts w:ascii="Times New Roman" w:hAnsi="Times New Roman" w:cs="Times New Roman"/>
          <w:sz w:val="24"/>
          <w:szCs w:val="24"/>
        </w:rPr>
        <w:t xml:space="preserve"> (</w:t>
      </w:r>
      <w:r w:rsidR="00882B2E" w:rsidRPr="00795C2F">
        <w:rPr>
          <w:rFonts w:ascii="Times New Roman" w:eastAsia="Arial Unicode MS" w:hAnsi="Times New Roman" w:cs="Times New Roman"/>
          <w:color w:val="000000"/>
          <w:sz w:val="24"/>
          <w:szCs w:val="24"/>
          <w:shd w:val="clear" w:color="auto" w:fill="FFFFFF"/>
        </w:rPr>
        <w:t>In Ruben, 2014)</w:t>
      </w:r>
      <w:r w:rsidRPr="00795C2F">
        <w:rPr>
          <w:rFonts w:ascii="Times New Roman" w:hAnsi="Times New Roman" w:cs="Times New Roman"/>
          <w:sz w:val="24"/>
          <w:szCs w:val="24"/>
        </w:rPr>
        <w:t>.</w:t>
      </w:r>
    </w:p>
    <w:p w:rsidR="00D67170" w:rsidRPr="00795C2F" w:rsidRDefault="00D67170" w:rsidP="00D67170">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t>The voltage-gated Na+ channel (VGSC) gene family encompasses of homogenous members SCN1A to SCN11A that encode the sodium selective ion channels nav1.1 to nav1.9. the alpha subunit associated with the beta subunit hence modulating the channel biophysics and the trafficking. At resting membrane potentials, the VGSCs remain closed requiring depolarization for activation. Once activated, they contribute or lead to the upstroke of the action potential in excitable cells. The opening of channels leads to an influx of the Na+ ions into the cell and further the depolarization of the membrane potential towards the equilibrium of the sodium potential. In many neurons, the inactivation of the VGSCs remains incomplete and hence resulting in a small persistent Na+ current that inactivates with time. The mutation of the SCN1A genes leads to persistent NA+ current leading o hyperpolarization and hence delaying the next wave of depolarization. The hyperpolarized voltage dependence of the activation of persistent sodium currents allows the channels to operate as amplifiers of threshold membrane potentials with low K+ channel activation</w:t>
      </w:r>
      <w:r w:rsidR="00882B2E" w:rsidRPr="00795C2F">
        <w:rPr>
          <w:rFonts w:ascii="Times New Roman" w:hAnsi="Times New Roman" w:cs="Times New Roman"/>
          <w:sz w:val="24"/>
          <w:szCs w:val="24"/>
        </w:rPr>
        <w:t xml:space="preserve"> (</w:t>
      </w:r>
      <w:r w:rsidR="00882B2E" w:rsidRPr="00795C2F">
        <w:rPr>
          <w:rFonts w:ascii="Times New Roman" w:eastAsia="Arial Unicode MS" w:hAnsi="Times New Roman" w:cs="Times New Roman"/>
          <w:color w:val="000000"/>
          <w:sz w:val="24"/>
          <w:szCs w:val="24"/>
          <w:shd w:val="clear" w:color="auto" w:fill="FFFFFF"/>
        </w:rPr>
        <w:t>In Ruben, 2014)</w:t>
      </w:r>
      <w:r w:rsidRPr="00795C2F">
        <w:rPr>
          <w:rFonts w:ascii="Times New Roman" w:hAnsi="Times New Roman" w:cs="Times New Roman"/>
          <w:sz w:val="24"/>
          <w:szCs w:val="24"/>
        </w:rPr>
        <w:t>.</w:t>
      </w:r>
    </w:p>
    <w:p w:rsidR="00D67170" w:rsidRPr="00795C2F" w:rsidRDefault="00D67170" w:rsidP="00D67170">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t>Adding acetylcholine to bind and open the acetylcholine gated cation channel at the synapse alters the action potential generated by the adjacent mutated voltage-gated Na+ channels to normal maximum potential of +50 mV at 0.5 ms. In this case, acetylcholine is a neurotransmitter that is released by the motor neurons binding to the receptors in the motor endplate. Its release occurs when action potentials travel down the motor neuron axon and hence resulting in the permeability of the synaptic terminal membrane and an influx of calcium. As the neurotransmitter binds with the acetylcholine receptors, the ion channels open, and Na+ ions cross the membrane into the muscle cell. As this happens there is a reduction of the voltage difference between the outside and inside of the cell, referred to as depolarization. As the acetylcholine binding occurs at the motor endplate, this depolarization is called the action potential. In this case, the depolarization spreads along the sarcolemma and hence creating an action potential, as Na+ channels adjacent to the initial depolarization site sense the change in voltage and open</w:t>
      </w:r>
      <w:r w:rsidR="00882B2E" w:rsidRPr="00795C2F">
        <w:rPr>
          <w:rFonts w:ascii="Times New Roman" w:hAnsi="Times New Roman" w:cs="Times New Roman"/>
          <w:sz w:val="24"/>
          <w:szCs w:val="24"/>
        </w:rPr>
        <w:t xml:space="preserve"> (</w:t>
      </w:r>
      <w:r w:rsidR="00882B2E" w:rsidRPr="00795C2F">
        <w:rPr>
          <w:rFonts w:ascii="Times New Roman" w:eastAsia="Arial Unicode MS" w:hAnsi="Times New Roman" w:cs="Times New Roman"/>
          <w:color w:val="000000"/>
          <w:sz w:val="24"/>
          <w:szCs w:val="24"/>
          <w:shd w:val="clear" w:color="auto" w:fill="FFFFFF"/>
        </w:rPr>
        <w:t>In Ruben, 2014)</w:t>
      </w:r>
      <w:r w:rsidRPr="00795C2F">
        <w:rPr>
          <w:rFonts w:ascii="Times New Roman" w:hAnsi="Times New Roman" w:cs="Times New Roman"/>
          <w:sz w:val="24"/>
          <w:szCs w:val="24"/>
        </w:rPr>
        <w:t xml:space="preserve">.  </w:t>
      </w:r>
    </w:p>
    <w:p w:rsidR="00D67170" w:rsidRPr="00795C2F" w:rsidRDefault="00D67170" w:rsidP="00D67170">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t>Q4 Chapter 16</w:t>
      </w:r>
    </w:p>
    <w:p w:rsidR="00D67170" w:rsidRPr="00795C2F" w:rsidRDefault="00D67170" w:rsidP="00D67170">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t>Adenosine triphosphate (ATP) is a complex organic chemical that provides energy to drive many processes in living cells such as muscle contraction, nerve impulses propagation, and even chemical synthesis. The ATP has two major functions in the muscle contraction and the skeletal muscles must continuously make the ATP provide the energy for the muscle contraction. First, the ATP binds to the myosin ends and upon the hydrolysis into ADP and Pi, transfers its energy to the cross-bridge area and hence hydrolyzing it. Secondly, it is responsible for the disconnection of the myosin cross-bridge at the end of the power stroke. Additionally, the ATP gives energy for the Ca+ ion pump that actively transports Ca+ ion back into the sarcoplasmic reticulum</w:t>
      </w:r>
      <w:r w:rsidR="00906251" w:rsidRPr="00795C2F">
        <w:rPr>
          <w:rFonts w:ascii="Times New Roman" w:hAnsi="Times New Roman" w:cs="Times New Roman"/>
          <w:sz w:val="24"/>
          <w:szCs w:val="24"/>
        </w:rPr>
        <w:t xml:space="preserve"> (</w:t>
      </w:r>
      <w:r w:rsidR="00906251" w:rsidRPr="00795C2F">
        <w:rPr>
          <w:rFonts w:ascii="Times New Roman" w:eastAsia="Arial Unicode MS" w:hAnsi="Times New Roman" w:cs="Times New Roman"/>
          <w:color w:val="000000"/>
          <w:sz w:val="24"/>
          <w:szCs w:val="24"/>
          <w:shd w:val="clear" w:color="auto" w:fill="FFFFFF"/>
        </w:rPr>
        <w:t>Zedalis et al, 2017)</w:t>
      </w:r>
      <w:r w:rsidRPr="00795C2F">
        <w:rPr>
          <w:rFonts w:ascii="Times New Roman" w:hAnsi="Times New Roman" w:cs="Times New Roman"/>
          <w:sz w:val="24"/>
          <w:szCs w:val="24"/>
        </w:rPr>
        <w:t>.</w:t>
      </w:r>
    </w:p>
    <w:p w:rsidR="00D67170" w:rsidRPr="00795C2F" w:rsidRDefault="00D67170" w:rsidP="00D67170">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t>The ATP prepares the myosin for binding with the actin by moving it at a higher energy state and a cocked position. ATP binding causes myosin to release actin and hence allowing the actin and myosin to detach from each other. After this happens, the ATP is converted to ADP and inorganic phosphate and the enzyme at the binding is called the ATPase. Adding nonhydrolyzable ATP blocks the myosin movement beyond this point. In this case, ATP hydrolysis changes the angle of the myosin head to a cocked up position and hence it remains at this state of high energy configuration with the ATP hydrolyzed</w:t>
      </w:r>
      <w:r w:rsidR="00906251" w:rsidRPr="00795C2F">
        <w:rPr>
          <w:rFonts w:ascii="Times New Roman" w:hAnsi="Times New Roman" w:cs="Times New Roman"/>
          <w:sz w:val="24"/>
          <w:szCs w:val="24"/>
        </w:rPr>
        <w:t xml:space="preserve"> (</w:t>
      </w:r>
      <w:r w:rsidR="00906251" w:rsidRPr="00795C2F">
        <w:rPr>
          <w:rFonts w:ascii="Times New Roman" w:eastAsia="Arial Unicode MS" w:hAnsi="Times New Roman" w:cs="Times New Roman"/>
          <w:color w:val="000000"/>
          <w:sz w:val="24"/>
          <w:szCs w:val="24"/>
          <w:shd w:val="clear" w:color="auto" w:fill="FFFFFF"/>
        </w:rPr>
        <w:t>Zedalis et al, 2017)</w:t>
      </w:r>
      <w:r w:rsidRPr="00795C2F">
        <w:rPr>
          <w:rFonts w:ascii="Times New Roman" w:hAnsi="Times New Roman" w:cs="Times New Roman"/>
          <w:sz w:val="24"/>
          <w:szCs w:val="24"/>
        </w:rPr>
        <w:t>.</w:t>
      </w:r>
    </w:p>
    <w:p w:rsidR="005B323E" w:rsidRPr="00795C2F" w:rsidRDefault="00D67170" w:rsidP="00D67170">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t>Both the myosin and the kinesin hydrolyze ATP at various points in their mechanical cycles. The kinesin is bound to microtubules while myosin in microfilaments. In this case, using non-hydrolysable ATP impairs both the activity of kinesin and myosin. This is because; the motor proteins use the energy of the ATP hydrolysis to move along the microtubules or the actin filaments.</w:t>
      </w:r>
    </w:p>
    <w:p w:rsidR="00D67170" w:rsidRPr="00795C2F" w:rsidRDefault="00D67170" w:rsidP="00D67170">
      <w:pPr>
        <w:spacing w:line="480" w:lineRule="auto"/>
        <w:jc w:val="both"/>
        <w:rPr>
          <w:rFonts w:ascii="Times New Roman" w:hAnsi="Times New Roman" w:cs="Times New Roman"/>
          <w:sz w:val="24"/>
          <w:szCs w:val="24"/>
        </w:rPr>
      </w:pPr>
    </w:p>
    <w:p w:rsidR="00D67170" w:rsidRPr="00795C2F" w:rsidRDefault="00D67170" w:rsidP="00D67170">
      <w:pPr>
        <w:spacing w:line="480" w:lineRule="auto"/>
        <w:jc w:val="both"/>
        <w:rPr>
          <w:rFonts w:ascii="Times New Roman" w:hAnsi="Times New Roman" w:cs="Times New Roman"/>
          <w:sz w:val="24"/>
          <w:szCs w:val="24"/>
        </w:rPr>
      </w:pPr>
    </w:p>
    <w:p w:rsidR="00D67170" w:rsidRPr="00795C2F" w:rsidRDefault="00D67170" w:rsidP="00D67170">
      <w:pPr>
        <w:spacing w:line="480" w:lineRule="auto"/>
        <w:jc w:val="both"/>
        <w:rPr>
          <w:rFonts w:ascii="Times New Roman" w:hAnsi="Times New Roman" w:cs="Times New Roman"/>
          <w:sz w:val="24"/>
          <w:szCs w:val="24"/>
        </w:rPr>
      </w:pPr>
    </w:p>
    <w:p w:rsidR="00D67170" w:rsidRPr="00795C2F" w:rsidRDefault="00D67170" w:rsidP="00D67170">
      <w:pPr>
        <w:spacing w:line="480" w:lineRule="auto"/>
        <w:jc w:val="both"/>
        <w:rPr>
          <w:rFonts w:ascii="Times New Roman" w:hAnsi="Times New Roman" w:cs="Times New Roman"/>
          <w:sz w:val="24"/>
          <w:szCs w:val="24"/>
        </w:rPr>
      </w:pPr>
    </w:p>
    <w:p w:rsidR="00D67170" w:rsidRPr="00795C2F" w:rsidRDefault="00D67170" w:rsidP="00D67170">
      <w:pPr>
        <w:spacing w:line="480" w:lineRule="auto"/>
        <w:jc w:val="both"/>
        <w:rPr>
          <w:rFonts w:ascii="Times New Roman" w:hAnsi="Times New Roman" w:cs="Times New Roman"/>
          <w:sz w:val="24"/>
          <w:szCs w:val="24"/>
        </w:rPr>
      </w:pPr>
    </w:p>
    <w:p w:rsidR="00D67170" w:rsidRPr="00795C2F" w:rsidRDefault="00D67170" w:rsidP="00D67170">
      <w:pPr>
        <w:spacing w:line="480" w:lineRule="auto"/>
        <w:jc w:val="both"/>
        <w:rPr>
          <w:rFonts w:ascii="Times New Roman" w:hAnsi="Times New Roman" w:cs="Times New Roman"/>
          <w:sz w:val="24"/>
          <w:szCs w:val="24"/>
        </w:rPr>
      </w:pPr>
    </w:p>
    <w:p w:rsidR="00D67170" w:rsidRPr="00795C2F" w:rsidRDefault="00D67170" w:rsidP="00D67170">
      <w:pPr>
        <w:spacing w:line="480" w:lineRule="auto"/>
        <w:jc w:val="both"/>
        <w:rPr>
          <w:rFonts w:ascii="Times New Roman" w:hAnsi="Times New Roman" w:cs="Times New Roman"/>
          <w:sz w:val="24"/>
          <w:szCs w:val="24"/>
        </w:rPr>
      </w:pPr>
    </w:p>
    <w:p w:rsidR="00D67170" w:rsidRPr="00795C2F" w:rsidRDefault="00D67170" w:rsidP="00D67170">
      <w:pPr>
        <w:spacing w:line="480" w:lineRule="auto"/>
        <w:jc w:val="both"/>
        <w:rPr>
          <w:rFonts w:ascii="Times New Roman" w:hAnsi="Times New Roman" w:cs="Times New Roman"/>
          <w:sz w:val="24"/>
          <w:szCs w:val="24"/>
        </w:rPr>
      </w:pPr>
    </w:p>
    <w:p w:rsidR="00D67170" w:rsidRPr="00795C2F" w:rsidRDefault="00D67170" w:rsidP="00D67170">
      <w:pPr>
        <w:spacing w:line="480" w:lineRule="auto"/>
        <w:jc w:val="both"/>
        <w:rPr>
          <w:rFonts w:ascii="Times New Roman" w:hAnsi="Times New Roman" w:cs="Times New Roman"/>
          <w:sz w:val="24"/>
          <w:szCs w:val="24"/>
        </w:rPr>
      </w:pPr>
    </w:p>
    <w:p w:rsidR="00D67170" w:rsidRPr="00795C2F" w:rsidRDefault="00D67170" w:rsidP="00D67170">
      <w:pPr>
        <w:spacing w:line="480" w:lineRule="auto"/>
        <w:jc w:val="both"/>
        <w:rPr>
          <w:rFonts w:ascii="Times New Roman" w:hAnsi="Times New Roman" w:cs="Times New Roman"/>
          <w:sz w:val="24"/>
          <w:szCs w:val="24"/>
        </w:rPr>
      </w:pPr>
    </w:p>
    <w:p w:rsidR="00D67170" w:rsidRPr="00795C2F" w:rsidRDefault="00D67170" w:rsidP="00D67170">
      <w:pPr>
        <w:spacing w:line="480" w:lineRule="auto"/>
        <w:jc w:val="both"/>
        <w:rPr>
          <w:rFonts w:ascii="Times New Roman" w:hAnsi="Times New Roman" w:cs="Times New Roman"/>
          <w:sz w:val="24"/>
          <w:szCs w:val="24"/>
        </w:rPr>
      </w:pPr>
      <w:r w:rsidRPr="00795C2F">
        <w:rPr>
          <w:rFonts w:ascii="Times New Roman" w:hAnsi="Times New Roman" w:cs="Times New Roman"/>
          <w:sz w:val="24"/>
          <w:szCs w:val="24"/>
        </w:rPr>
        <w:t>References</w:t>
      </w:r>
    </w:p>
    <w:p w:rsidR="00D67170" w:rsidRPr="00795C2F" w:rsidRDefault="00D67170" w:rsidP="00D67170">
      <w:pPr>
        <w:spacing w:line="480" w:lineRule="auto"/>
        <w:jc w:val="both"/>
        <w:rPr>
          <w:rFonts w:ascii="Times New Roman" w:eastAsia="Arial Unicode MS" w:hAnsi="Times New Roman" w:cs="Times New Roman"/>
          <w:color w:val="000000"/>
          <w:sz w:val="24"/>
          <w:szCs w:val="24"/>
          <w:shd w:val="clear" w:color="auto" w:fill="FFFFFF"/>
        </w:rPr>
      </w:pPr>
      <w:r w:rsidRPr="00795C2F">
        <w:rPr>
          <w:rFonts w:ascii="Times New Roman" w:eastAsia="Arial Unicode MS" w:hAnsi="Times New Roman" w:cs="Times New Roman"/>
          <w:color w:val="000000"/>
          <w:sz w:val="24"/>
          <w:szCs w:val="24"/>
          <w:shd w:val="clear" w:color="auto" w:fill="FFFFFF"/>
        </w:rPr>
        <w:t>Emery, A. E. H. (2000). </w:t>
      </w:r>
      <w:r w:rsidRPr="00795C2F">
        <w:rPr>
          <w:rFonts w:ascii="Times New Roman" w:eastAsia="Arial Unicode MS" w:hAnsi="Times New Roman" w:cs="Times New Roman"/>
          <w:i/>
          <w:iCs/>
          <w:color w:val="000000"/>
          <w:sz w:val="24"/>
          <w:szCs w:val="24"/>
          <w:shd w:val="clear" w:color="auto" w:fill="FFFFFF"/>
        </w:rPr>
        <w:t>Muscular dystrophy, the facts</w:t>
      </w:r>
      <w:r w:rsidRPr="00795C2F">
        <w:rPr>
          <w:rFonts w:ascii="Times New Roman" w:eastAsia="Arial Unicode MS" w:hAnsi="Times New Roman" w:cs="Times New Roman"/>
          <w:color w:val="000000"/>
          <w:sz w:val="24"/>
          <w:szCs w:val="24"/>
          <w:shd w:val="clear" w:color="auto" w:fill="FFFFFF"/>
        </w:rPr>
        <w:t>. Oxford: Oxford University Press.</w:t>
      </w:r>
    </w:p>
    <w:p w:rsidR="00D67170" w:rsidRPr="00795C2F" w:rsidRDefault="00D67170" w:rsidP="00D67170">
      <w:pPr>
        <w:spacing w:line="480" w:lineRule="auto"/>
        <w:jc w:val="both"/>
        <w:rPr>
          <w:rFonts w:ascii="Times New Roman" w:eastAsia="Arial Unicode MS" w:hAnsi="Times New Roman" w:cs="Times New Roman"/>
          <w:color w:val="000000"/>
          <w:sz w:val="24"/>
          <w:szCs w:val="24"/>
          <w:shd w:val="clear" w:color="auto" w:fill="FFFFFF"/>
        </w:rPr>
      </w:pPr>
      <w:r w:rsidRPr="00795C2F">
        <w:rPr>
          <w:rFonts w:ascii="Times New Roman" w:eastAsia="Arial Unicode MS" w:hAnsi="Times New Roman" w:cs="Times New Roman"/>
          <w:color w:val="000000"/>
          <w:sz w:val="24"/>
          <w:szCs w:val="24"/>
          <w:shd w:val="clear" w:color="auto" w:fill="FFFFFF"/>
        </w:rPr>
        <w:t>In Ruben, P. (2014). </w:t>
      </w:r>
      <w:r w:rsidRPr="00795C2F">
        <w:rPr>
          <w:rFonts w:ascii="Times New Roman" w:eastAsia="Arial Unicode MS" w:hAnsi="Times New Roman" w:cs="Times New Roman"/>
          <w:i/>
          <w:iCs/>
          <w:color w:val="000000"/>
          <w:sz w:val="24"/>
          <w:szCs w:val="24"/>
          <w:shd w:val="clear" w:color="auto" w:fill="FFFFFF"/>
        </w:rPr>
        <w:t>Voltage gated sodium channels</w:t>
      </w:r>
      <w:r w:rsidRPr="00795C2F">
        <w:rPr>
          <w:rFonts w:ascii="Times New Roman" w:eastAsia="Arial Unicode MS" w:hAnsi="Times New Roman" w:cs="Times New Roman"/>
          <w:color w:val="000000"/>
          <w:sz w:val="24"/>
          <w:szCs w:val="24"/>
          <w:shd w:val="clear" w:color="auto" w:fill="FFFFFF"/>
        </w:rPr>
        <w:t>.</w:t>
      </w:r>
    </w:p>
    <w:p w:rsidR="00D67170" w:rsidRPr="00795C2F" w:rsidRDefault="00055CB2" w:rsidP="00D67170">
      <w:pPr>
        <w:spacing w:line="480" w:lineRule="auto"/>
        <w:jc w:val="both"/>
        <w:rPr>
          <w:rFonts w:ascii="Times New Roman" w:eastAsia="Arial Unicode MS" w:hAnsi="Times New Roman" w:cs="Times New Roman"/>
          <w:color w:val="000000"/>
          <w:sz w:val="24"/>
          <w:szCs w:val="24"/>
          <w:shd w:val="clear" w:color="auto" w:fill="FFFFFF"/>
        </w:rPr>
      </w:pPr>
      <w:r w:rsidRPr="00795C2F">
        <w:rPr>
          <w:rFonts w:ascii="Times New Roman" w:eastAsia="Arial Unicode MS" w:hAnsi="Times New Roman" w:cs="Times New Roman"/>
          <w:color w:val="000000"/>
          <w:sz w:val="24"/>
          <w:szCs w:val="24"/>
          <w:shd w:val="clear" w:color="auto" w:fill="FFFFFF"/>
        </w:rPr>
        <w:t>Zedalis, J., Eggebrecht, J., &amp; OpenStax College,. (2017). </w:t>
      </w:r>
      <w:r w:rsidRPr="00795C2F">
        <w:rPr>
          <w:rFonts w:ascii="Times New Roman" w:eastAsia="Arial Unicode MS" w:hAnsi="Times New Roman" w:cs="Times New Roman"/>
          <w:i/>
          <w:iCs/>
          <w:color w:val="000000"/>
          <w:sz w:val="24"/>
          <w:szCs w:val="24"/>
          <w:shd w:val="clear" w:color="auto" w:fill="FFFFFF"/>
        </w:rPr>
        <w:t>Biology for AP® courses</w:t>
      </w:r>
      <w:r w:rsidRPr="00795C2F">
        <w:rPr>
          <w:rFonts w:ascii="Times New Roman" w:eastAsia="Arial Unicode MS" w:hAnsi="Times New Roman" w:cs="Times New Roman"/>
          <w:color w:val="000000"/>
          <w:sz w:val="24"/>
          <w:szCs w:val="24"/>
          <w:shd w:val="clear" w:color="auto" w:fill="FFFFFF"/>
        </w:rPr>
        <w:t>.</w:t>
      </w:r>
      <w:r w:rsidR="00D67170" w:rsidRPr="00795C2F">
        <w:rPr>
          <w:rFonts w:ascii="Times New Roman" w:eastAsia="Arial Unicode MS" w:hAnsi="Times New Roman" w:cs="Times New Roman"/>
          <w:color w:val="000000"/>
          <w:sz w:val="24"/>
          <w:szCs w:val="24"/>
          <w:shd w:val="clear" w:color="auto" w:fill="FFFFFF"/>
        </w:rPr>
        <w:t>.</w:t>
      </w:r>
    </w:p>
    <w:p w:rsidR="00291F00" w:rsidRPr="00795C2F" w:rsidRDefault="00291F00" w:rsidP="00D67170">
      <w:pPr>
        <w:spacing w:line="480" w:lineRule="auto"/>
        <w:jc w:val="both"/>
        <w:rPr>
          <w:rFonts w:ascii="Times New Roman" w:eastAsia="Arial Unicode MS" w:hAnsi="Times New Roman" w:cs="Times New Roman"/>
          <w:color w:val="000000"/>
          <w:sz w:val="24"/>
          <w:szCs w:val="24"/>
          <w:shd w:val="clear" w:color="auto" w:fill="FFFFFF"/>
        </w:rPr>
      </w:pPr>
      <w:r w:rsidRPr="00795C2F">
        <w:rPr>
          <w:rFonts w:ascii="Times New Roman" w:eastAsia="Arial Unicode MS" w:hAnsi="Times New Roman" w:cs="Times New Roman"/>
          <w:color w:val="000000"/>
          <w:sz w:val="24"/>
          <w:szCs w:val="24"/>
          <w:shd w:val="clear" w:color="auto" w:fill="FFFFFF"/>
        </w:rPr>
        <w:t>In Kurien, B. T., &amp; In Scofield, R. H. (2015). </w:t>
      </w:r>
      <w:r w:rsidRPr="00795C2F">
        <w:rPr>
          <w:rFonts w:ascii="Times New Roman" w:eastAsia="Arial Unicode MS" w:hAnsi="Times New Roman" w:cs="Times New Roman"/>
          <w:i/>
          <w:iCs/>
          <w:color w:val="000000"/>
          <w:sz w:val="24"/>
          <w:szCs w:val="24"/>
          <w:shd w:val="clear" w:color="auto" w:fill="FFFFFF"/>
        </w:rPr>
        <w:t>Western blotting: Methods and protocols</w:t>
      </w:r>
      <w:r w:rsidRPr="00795C2F">
        <w:rPr>
          <w:rFonts w:ascii="Times New Roman" w:eastAsia="Arial Unicode MS" w:hAnsi="Times New Roman" w:cs="Times New Roman"/>
          <w:color w:val="000000"/>
          <w:sz w:val="24"/>
          <w:szCs w:val="24"/>
          <w:shd w:val="clear" w:color="auto" w:fill="FFFFFF"/>
        </w:rPr>
        <w:t>.</w:t>
      </w:r>
    </w:p>
    <w:p w:rsidR="008C0AD8" w:rsidRPr="00795C2F" w:rsidRDefault="008C0AD8" w:rsidP="00D67170">
      <w:pPr>
        <w:spacing w:line="480" w:lineRule="auto"/>
        <w:jc w:val="both"/>
        <w:rPr>
          <w:rFonts w:ascii="Times New Roman" w:hAnsi="Times New Roman" w:cs="Times New Roman"/>
          <w:sz w:val="24"/>
          <w:szCs w:val="24"/>
        </w:rPr>
      </w:pPr>
      <w:r w:rsidRPr="00795C2F">
        <w:rPr>
          <w:rFonts w:ascii="Times New Roman" w:eastAsia="Arial Unicode MS" w:hAnsi="Times New Roman" w:cs="Times New Roman"/>
          <w:color w:val="000000"/>
          <w:sz w:val="24"/>
          <w:szCs w:val="24"/>
          <w:shd w:val="clear" w:color="auto" w:fill="FFFFFF"/>
        </w:rPr>
        <w:t>Barranger, J. A., &amp; Cabrera-Salazar, M. A. (2007). </w:t>
      </w:r>
      <w:r w:rsidRPr="00795C2F">
        <w:rPr>
          <w:rFonts w:ascii="Times New Roman" w:eastAsia="Arial Unicode MS" w:hAnsi="Times New Roman" w:cs="Times New Roman"/>
          <w:i/>
          <w:iCs/>
          <w:color w:val="000000"/>
          <w:sz w:val="24"/>
          <w:szCs w:val="24"/>
          <w:shd w:val="clear" w:color="auto" w:fill="FFFFFF"/>
        </w:rPr>
        <w:t>Lysosomal Storage Disorders</w:t>
      </w:r>
      <w:r w:rsidRPr="00795C2F">
        <w:rPr>
          <w:rFonts w:ascii="Times New Roman" w:eastAsia="Arial Unicode MS" w:hAnsi="Times New Roman" w:cs="Times New Roman"/>
          <w:color w:val="000000"/>
          <w:sz w:val="24"/>
          <w:szCs w:val="24"/>
          <w:shd w:val="clear" w:color="auto" w:fill="FFFFFF"/>
        </w:rPr>
        <w:t>. Boston, MA: Springer Science+Business Media, LLC.</w:t>
      </w:r>
    </w:p>
    <w:sectPr w:rsidR="008C0AD8" w:rsidRPr="00795C2F" w:rsidSect="000F1D8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66D9" w:rsidRDefault="000366D9" w:rsidP="000F1D82">
      <w:pPr>
        <w:spacing w:after="0" w:line="240" w:lineRule="auto"/>
      </w:pPr>
      <w:r>
        <w:separator/>
      </w:r>
    </w:p>
  </w:endnote>
  <w:endnote w:type="continuationSeparator" w:id="0">
    <w:p w:rsidR="000366D9" w:rsidRDefault="000366D9" w:rsidP="000F1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66D9" w:rsidRDefault="000366D9" w:rsidP="000F1D82">
      <w:pPr>
        <w:spacing w:after="0" w:line="240" w:lineRule="auto"/>
      </w:pPr>
      <w:r>
        <w:separator/>
      </w:r>
    </w:p>
  </w:footnote>
  <w:footnote w:type="continuationSeparator" w:id="0">
    <w:p w:rsidR="000366D9" w:rsidRDefault="000366D9" w:rsidP="000F1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5FB" w:rsidRDefault="00C515FB">
    <w:pPr>
      <w:pStyle w:val="Header"/>
      <w:jc w:val="right"/>
    </w:pPr>
    <w:r w:rsidRPr="00455BE7">
      <w:rPr>
        <w:rFonts w:ascii="Times New Roman" w:hAnsi="Times New Roman" w:cs="Times New Roman"/>
        <w:sz w:val="24"/>
        <w:szCs w:val="24"/>
      </w:rPr>
      <w:t xml:space="preserve">Question answer assignment                                                                                </w:t>
    </w:r>
    <w:sdt>
      <w:sdtPr>
        <w:id w:val="-11627748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3D72">
          <w:rPr>
            <w:noProof/>
          </w:rPr>
          <w:t>4</w:t>
        </w:r>
        <w:r>
          <w:rPr>
            <w:noProof/>
          </w:rPr>
          <w:fldChar w:fldCharType="end"/>
        </w:r>
      </w:sdtContent>
    </w:sdt>
  </w:p>
  <w:p w:rsidR="00C515FB" w:rsidRDefault="00C515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5FB" w:rsidRDefault="00C515FB" w:rsidP="000F1D82">
    <w:pPr>
      <w:pStyle w:val="Header"/>
      <w:jc w:val="right"/>
    </w:pPr>
    <w:r w:rsidRPr="000F1D82">
      <w:rPr>
        <w:rFonts w:ascii="Times New Roman" w:hAnsi="Times New Roman" w:cs="Times New Roman"/>
        <w:sz w:val="24"/>
        <w:szCs w:val="24"/>
      </w:rPr>
      <w:t xml:space="preserve">Running head: questions answer assignment     </w:t>
    </w:r>
    <w:r w:rsidRPr="000F1D82">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3NTQ3Mzc0MjE2NzNU0lEKTi0uzszPAykwrAUAZGLNLywAAAA="/>
  </w:docVars>
  <w:rsids>
    <w:rsidRoot w:val="000131AA"/>
    <w:rsid w:val="000131AA"/>
    <w:rsid w:val="000366D9"/>
    <w:rsid w:val="000546F6"/>
    <w:rsid w:val="00055CB2"/>
    <w:rsid w:val="00083A26"/>
    <w:rsid w:val="000B03D9"/>
    <w:rsid w:val="000F1D82"/>
    <w:rsid w:val="00181AF1"/>
    <w:rsid w:val="00191745"/>
    <w:rsid w:val="00195D7E"/>
    <w:rsid w:val="001C0C99"/>
    <w:rsid w:val="0024735D"/>
    <w:rsid w:val="00257A60"/>
    <w:rsid w:val="0029050B"/>
    <w:rsid w:val="00291F00"/>
    <w:rsid w:val="002B78AF"/>
    <w:rsid w:val="002C2C60"/>
    <w:rsid w:val="002C4043"/>
    <w:rsid w:val="002D13F5"/>
    <w:rsid w:val="002F1AB9"/>
    <w:rsid w:val="0031445C"/>
    <w:rsid w:val="00345233"/>
    <w:rsid w:val="003A10CD"/>
    <w:rsid w:val="003C5D69"/>
    <w:rsid w:val="003E0BC1"/>
    <w:rsid w:val="003F46DB"/>
    <w:rsid w:val="00403A2D"/>
    <w:rsid w:val="004552FE"/>
    <w:rsid w:val="00455BE7"/>
    <w:rsid w:val="00466DDE"/>
    <w:rsid w:val="00490E9A"/>
    <w:rsid w:val="004A1CD2"/>
    <w:rsid w:val="004A74D2"/>
    <w:rsid w:val="004B5FA1"/>
    <w:rsid w:val="004B77E2"/>
    <w:rsid w:val="00523EBA"/>
    <w:rsid w:val="00530316"/>
    <w:rsid w:val="00536BE7"/>
    <w:rsid w:val="00587834"/>
    <w:rsid w:val="005B323E"/>
    <w:rsid w:val="005B6473"/>
    <w:rsid w:val="005C4753"/>
    <w:rsid w:val="00651169"/>
    <w:rsid w:val="00672F1A"/>
    <w:rsid w:val="00686062"/>
    <w:rsid w:val="006C07DF"/>
    <w:rsid w:val="006D3328"/>
    <w:rsid w:val="006E7FB1"/>
    <w:rsid w:val="00733DF6"/>
    <w:rsid w:val="00760508"/>
    <w:rsid w:val="007664B9"/>
    <w:rsid w:val="00795C2F"/>
    <w:rsid w:val="007A413D"/>
    <w:rsid w:val="007B7D04"/>
    <w:rsid w:val="007C575D"/>
    <w:rsid w:val="007D001F"/>
    <w:rsid w:val="007F01C4"/>
    <w:rsid w:val="007F7106"/>
    <w:rsid w:val="008158EC"/>
    <w:rsid w:val="00882266"/>
    <w:rsid w:val="00882B2E"/>
    <w:rsid w:val="008A3784"/>
    <w:rsid w:val="008C0AD8"/>
    <w:rsid w:val="008D1FFA"/>
    <w:rsid w:val="00906251"/>
    <w:rsid w:val="0091346A"/>
    <w:rsid w:val="00920C02"/>
    <w:rsid w:val="00926F4A"/>
    <w:rsid w:val="0096764E"/>
    <w:rsid w:val="00997DCB"/>
    <w:rsid w:val="009B7D57"/>
    <w:rsid w:val="009D26C2"/>
    <w:rsid w:val="009E3511"/>
    <w:rsid w:val="00A2136E"/>
    <w:rsid w:val="00AC593F"/>
    <w:rsid w:val="00AD7F16"/>
    <w:rsid w:val="00B20EE1"/>
    <w:rsid w:val="00B21454"/>
    <w:rsid w:val="00B275BC"/>
    <w:rsid w:val="00B34395"/>
    <w:rsid w:val="00B35320"/>
    <w:rsid w:val="00B43D72"/>
    <w:rsid w:val="00B57ED6"/>
    <w:rsid w:val="00B756EF"/>
    <w:rsid w:val="00BA4A98"/>
    <w:rsid w:val="00BC1411"/>
    <w:rsid w:val="00BE5750"/>
    <w:rsid w:val="00C14716"/>
    <w:rsid w:val="00C515FB"/>
    <w:rsid w:val="00C707DA"/>
    <w:rsid w:val="00C77D8E"/>
    <w:rsid w:val="00C87E77"/>
    <w:rsid w:val="00C97A04"/>
    <w:rsid w:val="00CB52EC"/>
    <w:rsid w:val="00D04002"/>
    <w:rsid w:val="00D10BE2"/>
    <w:rsid w:val="00D2744F"/>
    <w:rsid w:val="00D31E97"/>
    <w:rsid w:val="00D417F2"/>
    <w:rsid w:val="00D52EFD"/>
    <w:rsid w:val="00D67170"/>
    <w:rsid w:val="00DC54CB"/>
    <w:rsid w:val="00DC7AB7"/>
    <w:rsid w:val="00DD18C9"/>
    <w:rsid w:val="00DF3444"/>
    <w:rsid w:val="00E01342"/>
    <w:rsid w:val="00E02E11"/>
    <w:rsid w:val="00E25D99"/>
    <w:rsid w:val="00E316E7"/>
    <w:rsid w:val="00E37ABD"/>
    <w:rsid w:val="00E838C4"/>
    <w:rsid w:val="00E84A23"/>
    <w:rsid w:val="00E84B29"/>
    <w:rsid w:val="00E90B4C"/>
    <w:rsid w:val="00E90FBE"/>
    <w:rsid w:val="00E92D74"/>
    <w:rsid w:val="00E939A2"/>
    <w:rsid w:val="00EB1A9C"/>
    <w:rsid w:val="00EC4ADF"/>
    <w:rsid w:val="00EE3161"/>
    <w:rsid w:val="00F03212"/>
    <w:rsid w:val="00F176E8"/>
    <w:rsid w:val="00F341DA"/>
    <w:rsid w:val="00F41A48"/>
    <w:rsid w:val="00F47C1C"/>
    <w:rsid w:val="00F95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7C9072-9180-4717-8D55-7C61477C1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5D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7E"/>
    <w:rPr>
      <w:rFonts w:ascii="Tahoma" w:hAnsi="Tahoma" w:cs="Tahoma"/>
      <w:sz w:val="16"/>
      <w:szCs w:val="16"/>
    </w:rPr>
  </w:style>
  <w:style w:type="character" w:styleId="Emphasis">
    <w:name w:val="Emphasis"/>
    <w:basedOn w:val="DefaultParagraphFont"/>
    <w:uiPriority w:val="20"/>
    <w:qFormat/>
    <w:rsid w:val="005C4753"/>
    <w:rPr>
      <w:i/>
      <w:iCs/>
    </w:rPr>
  </w:style>
  <w:style w:type="paragraph" w:styleId="Header">
    <w:name w:val="header"/>
    <w:basedOn w:val="Normal"/>
    <w:link w:val="HeaderChar"/>
    <w:uiPriority w:val="99"/>
    <w:unhideWhenUsed/>
    <w:rsid w:val="000F1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D82"/>
  </w:style>
  <w:style w:type="paragraph" w:styleId="Footer">
    <w:name w:val="footer"/>
    <w:basedOn w:val="Normal"/>
    <w:link w:val="FooterChar"/>
    <w:uiPriority w:val="99"/>
    <w:unhideWhenUsed/>
    <w:rsid w:val="000F1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D82"/>
  </w:style>
  <w:style w:type="paragraph" w:styleId="NormalWeb">
    <w:name w:val="Normal (Web)"/>
    <w:basedOn w:val="Normal"/>
    <w:uiPriority w:val="99"/>
    <w:semiHidden/>
    <w:unhideWhenUsed/>
    <w:rsid w:val="00F176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837672">
      <w:bodyDiv w:val="1"/>
      <w:marLeft w:val="0"/>
      <w:marRight w:val="0"/>
      <w:marTop w:val="0"/>
      <w:marBottom w:val="0"/>
      <w:divBdr>
        <w:top w:val="none" w:sz="0" w:space="0" w:color="auto"/>
        <w:left w:val="none" w:sz="0" w:space="0" w:color="auto"/>
        <w:bottom w:val="none" w:sz="0" w:space="0" w:color="auto"/>
        <w:right w:val="none" w:sz="0" w:space="0" w:color="auto"/>
      </w:divBdr>
    </w:div>
    <w:div w:id="47201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2080</Words>
  <Characters>11856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2019-11-20T19:29:00Z</dcterms:created>
  <dcterms:modified xsi:type="dcterms:W3CDTF">2019-11-20T19:29:00Z</dcterms:modified>
</cp:coreProperties>
</file>